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FD" w:rsidRPr="00893B97" w:rsidRDefault="00733F43" w:rsidP="00561BBD">
      <w:pPr>
        <w:jc w:val="both"/>
        <w:rPr>
          <w:rFonts w:ascii="Calibri" w:hAnsi="Calibri" w:cs="Arial"/>
          <w:u w:val="single"/>
          <w:lang w:val="tr-TR"/>
        </w:rPr>
      </w:pPr>
      <w:r w:rsidRPr="00893B97">
        <w:rPr>
          <w:rFonts w:ascii="Calibri" w:hAnsi="Calibri"/>
          <w:noProof/>
          <w:sz w:val="20"/>
          <w:lang w:val="tr-TR" w:eastAsia="tr-TR"/>
        </w:rPr>
        <w:drawing>
          <wp:anchor distT="0" distB="0" distL="114300" distR="114300" simplePos="0" relativeHeight="251658752" behindDoc="1" locked="0" layoutInCell="1" allowOverlap="1" wp14:anchorId="3781ED8C" wp14:editId="0E82DD11">
            <wp:simplePos x="0" y="0"/>
            <wp:positionH relativeFrom="margin">
              <wp:align>center</wp:align>
            </wp:positionH>
            <wp:positionV relativeFrom="paragraph">
              <wp:posOffset>-800735</wp:posOffset>
            </wp:positionV>
            <wp:extent cx="1666160" cy="1427104"/>
            <wp:effectExtent l="0" t="0" r="0" b="1905"/>
            <wp:wrapNone/>
            <wp:docPr id="1" name="Picture 1" descr="C:\Users\fev\Desktop\FIRDEVS\LOGOLAR\İAE YENİ LOGOLAR\jpeg\Enstitusu_Vertical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v\Desktop\FIRDEVS\LOGOLAR\İAE YENİ LOGOLAR\jpeg\Enstitusu_Vertical_RGB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60" cy="142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DFD" w:rsidRPr="00893B97">
        <w:rPr>
          <w:rFonts w:ascii="Calibri" w:hAnsi="Calibri" w:cs="Arial"/>
          <w:u w:val="single"/>
          <w:lang w:val="tr-TR"/>
        </w:rPr>
        <w:t xml:space="preserve"> </w:t>
      </w:r>
    </w:p>
    <w:p w:rsidR="004B26C3" w:rsidRDefault="004B26C3" w:rsidP="00561BBD">
      <w:pPr>
        <w:jc w:val="both"/>
        <w:rPr>
          <w:rFonts w:ascii="Calibri" w:hAnsi="Calibri" w:cs="Arial"/>
          <w:b/>
          <w:sz w:val="22"/>
          <w:u w:val="single"/>
          <w:lang w:val="tr-TR"/>
        </w:rPr>
      </w:pPr>
    </w:p>
    <w:p w:rsidR="004B26C3" w:rsidRDefault="004B26C3" w:rsidP="00561BBD">
      <w:pPr>
        <w:jc w:val="both"/>
        <w:rPr>
          <w:rFonts w:ascii="Calibri" w:hAnsi="Calibri" w:cs="Arial"/>
          <w:b/>
          <w:sz w:val="22"/>
          <w:u w:val="single"/>
          <w:lang w:val="tr-TR"/>
        </w:rPr>
      </w:pPr>
    </w:p>
    <w:p w:rsidR="00733F43" w:rsidRPr="00893B97" w:rsidRDefault="00733F43" w:rsidP="00561BBD">
      <w:pPr>
        <w:jc w:val="both"/>
        <w:rPr>
          <w:rFonts w:ascii="Calibri" w:hAnsi="Calibri" w:cs="Arial"/>
          <w:b/>
          <w:sz w:val="22"/>
          <w:u w:val="single"/>
          <w:lang w:val="tr-TR"/>
        </w:rPr>
      </w:pPr>
      <w:r w:rsidRPr="00893B97">
        <w:rPr>
          <w:rFonts w:ascii="Calibri" w:hAnsi="Calibri" w:cs="Arial"/>
          <w:b/>
          <w:sz w:val="22"/>
          <w:u w:val="single"/>
          <w:lang w:val="tr-TR"/>
        </w:rPr>
        <w:t>Basın Bülteni</w:t>
      </w:r>
    </w:p>
    <w:p w:rsidR="004B26C3" w:rsidRDefault="00561BBD" w:rsidP="00561BBD">
      <w:pPr>
        <w:jc w:val="both"/>
        <w:rPr>
          <w:rFonts w:ascii="Calibri" w:hAnsi="Calibri" w:cs="Arial"/>
          <w:sz w:val="22"/>
          <w:lang w:val="tr-TR"/>
        </w:rPr>
      </w:pPr>
      <w:r w:rsidRPr="00893B97">
        <w:rPr>
          <w:rFonts w:ascii="Calibri" w:hAnsi="Calibri" w:cs="Arial"/>
          <w:sz w:val="22"/>
          <w:lang w:val="tr-TR"/>
        </w:rPr>
        <w:t>20 Ekim 2016</w:t>
      </w:r>
    </w:p>
    <w:p w:rsidR="004B26C3" w:rsidRPr="00893B97" w:rsidRDefault="004B26C3" w:rsidP="00561BBD">
      <w:pPr>
        <w:jc w:val="both"/>
        <w:rPr>
          <w:rFonts w:ascii="Calibri" w:hAnsi="Calibri" w:cs="Arial"/>
          <w:sz w:val="22"/>
          <w:lang w:val="tr-TR"/>
        </w:rPr>
      </w:pPr>
    </w:p>
    <w:p w:rsidR="00C25E6D" w:rsidRPr="00893B97" w:rsidRDefault="00C25E6D" w:rsidP="00561BBD">
      <w:pPr>
        <w:jc w:val="center"/>
        <w:rPr>
          <w:rFonts w:ascii="Calibri" w:hAnsi="Calibri" w:cstheme="majorBidi"/>
          <w:b/>
          <w:sz w:val="36"/>
          <w:szCs w:val="36"/>
          <w:lang w:val="tr-TR"/>
        </w:rPr>
      </w:pPr>
      <w:r w:rsidRPr="00893B97">
        <w:rPr>
          <w:rFonts w:ascii="Calibri" w:hAnsi="Calibri" w:cstheme="majorBidi"/>
          <w:b/>
          <w:sz w:val="36"/>
          <w:szCs w:val="36"/>
          <w:lang w:val="tr-TR"/>
        </w:rPr>
        <w:t xml:space="preserve">İstanbul Araştırmaları Enstitüsü’nden Yeni Yayın: </w:t>
      </w:r>
    </w:p>
    <w:p w:rsidR="004B26C3" w:rsidRPr="004B26C3" w:rsidRDefault="004B26C3" w:rsidP="004B26C3">
      <w:pPr>
        <w:jc w:val="center"/>
        <w:rPr>
          <w:rFonts w:ascii="Calibri" w:hAnsi="Calibri" w:cstheme="majorBidi"/>
          <w:b/>
          <w:sz w:val="36"/>
          <w:szCs w:val="36"/>
          <w:lang w:val="tr-TR"/>
        </w:rPr>
      </w:pPr>
      <w:r w:rsidRPr="004B26C3">
        <w:rPr>
          <w:rFonts w:ascii="Calibri" w:hAnsi="Calibri" w:cstheme="majorBidi"/>
          <w:b/>
          <w:sz w:val="36"/>
          <w:szCs w:val="36"/>
          <w:lang w:val="tr-TR"/>
        </w:rPr>
        <w:t>Bekâr Odaları ve Meyhaneler</w:t>
      </w:r>
    </w:p>
    <w:p w:rsidR="004B26C3" w:rsidRPr="004B26C3" w:rsidRDefault="004B26C3" w:rsidP="004B26C3">
      <w:pPr>
        <w:jc w:val="center"/>
        <w:rPr>
          <w:rFonts w:ascii="Calibri" w:hAnsi="Calibri" w:cstheme="majorBidi"/>
          <w:b/>
          <w:sz w:val="36"/>
          <w:szCs w:val="36"/>
          <w:lang w:val="tr-TR"/>
        </w:rPr>
      </w:pPr>
      <w:r w:rsidRPr="004B26C3">
        <w:rPr>
          <w:rFonts w:ascii="Calibri" w:hAnsi="Calibri" w:cstheme="majorBidi"/>
          <w:b/>
          <w:sz w:val="36"/>
          <w:szCs w:val="36"/>
          <w:lang w:val="tr-TR"/>
        </w:rPr>
        <w:t xml:space="preserve">Osmanlı </w:t>
      </w:r>
      <w:proofErr w:type="spellStart"/>
      <w:r w:rsidRPr="004B26C3">
        <w:rPr>
          <w:rFonts w:ascii="Calibri" w:hAnsi="Calibri" w:cstheme="majorBidi"/>
          <w:b/>
          <w:sz w:val="36"/>
          <w:szCs w:val="36"/>
          <w:lang w:val="tr-TR"/>
        </w:rPr>
        <w:t>İstanbulu’nda</w:t>
      </w:r>
      <w:proofErr w:type="spellEnd"/>
      <w:r w:rsidRPr="004B26C3">
        <w:rPr>
          <w:rFonts w:ascii="Calibri" w:hAnsi="Calibri" w:cstheme="majorBidi"/>
          <w:b/>
          <w:sz w:val="36"/>
          <w:szCs w:val="36"/>
          <w:lang w:val="tr-TR"/>
        </w:rPr>
        <w:t xml:space="preserve"> </w:t>
      </w:r>
      <w:proofErr w:type="spellStart"/>
      <w:r w:rsidRPr="004B26C3">
        <w:rPr>
          <w:rFonts w:ascii="Calibri" w:hAnsi="Calibri" w:cstheme="majorBidi"/>
          <w:b/>
          <w:sz w:val="36"/>
          <w:szCs w:val="36"/>
          <w:lang w:val="tr-TR"/>
        </w:rPr>
        <w:t>Marjinalite</w:t>
      </w:r>
      <w:proofErr w:type="spellEnd"/>
      <w:r w:rsidRPr="004B26C3">
        <w:rPr>
          <w:rFonts w:ascii="Calibri" w:hAnsi="Calibri" w:cstheme="majorBidi"/>
          <w:b/>
          <w:sz w:val="36"/>
          <w:szCs w:val="36"/>
          <w:lang w:val="tr-TR"/>
        </w:rPr>
        <w:t xml:space="preserve"> ve Mekân</w:t>
      </w:r>
    </w:p>
    <w:p w:rsidR="00624BBD" w:rsidRPr="00893B97" w:rsidRDefault="004B26C3" w:rsidP="004B26C3">
      <w:pPr>
        <w:jc w:val="center"/>
        <w:rPr>
          <w:rFonts w:ascii="Calibri" w:hAnsi="Calibri" w:cstheme="majorBidi"/>
          <w:b/>
          <w:sz w:val="36"/>
          <w:szCs w:val="36"/>
          <w:lang w:val="tr-TR"/>
        </w:rPr>
      </w:pPr>
      <w:r w:rsidRPr="004B26C3">
        <w:rPr>
          <w:rFonts w:ascii="Calibri" w:hAnsi="Calibri" w:cstheme="majorBidi"/>
          <w:b/>
          <w:sz w:val="36"/>
          <w:szCs w:val="36"/>
          <w:lang w:val="tr-TR"/>
        </w:rPr>
        <w:t>(1789–1839)</w:t>
      </w:r>
    </w:p>
    <w:p w:rsidR="00561BBD" w:rsidRPr="00893B97" w:rsidRDefault="00561BBD" w:rsidP="00561BBD">
      <w:pPr>
        <w:rPr>
          <w:rFonts w:ascii="Calibri" w:hAnsi="Calibri" w:cstheme="majorBidi"/>
          <w:b/>
          <w:sz w:val="14"/>
          <w:szCs w:val="36"/>
          <w:lang w:val="tr-TR"/>
        </w:rPr>
      </w:pPr>
    </w:p>
    <w:p w:rsidR="00187DFD" w:rsidRPr="00893B97" w:rsidRDefault="00187DFD" w:rsidP="00561BBD">
      <w:pPr>
        <w:jc w:val="both"/>
        <w:rPr>
          <w:rFonts w:ascii="Calibri" w:hAnsi="Calibri" w:cstheme="majorBidi"/>
          <w:b/>
          <w:lang w:val="tr-TR"/>
        </w:rPr>
      </w:pPr>
      <w:r w:rsidRPr="00893B97">
        <w:rPr>
          <w:rFonts w:ascii="Calibri" w:hAnsi="Calibri" w:cstheme="majorBidi"/>
          <w:b/>
          <w:lang w:val="tr-TR"/>
        </w:rPr>
        <w:t>İstanbul Araştırmaları Enstitüsü</w:t>
      </w:r>
      <w:r w:rsidR="00ED4541" w:rsidRPr="00893B97">
        <w:rPr>
          <w:rFonts w:ascii="Calibri" w:hAnsi="Calibri" w:cstheme="majorBidi"/>
          <w:b/>
          <w:lang w:val="tr-TR"/>
        </w:rPr>
        <w:t>’</w:t>
      </w:r>
      <w:r w:rsidRPr="00893B97">
        <w:rPr>
          <w:rFonts w:ascii="Calibri" w:hAnsi="Calibri" w:cstheme="majorBidi"/>
          <w:b/>
          <w:lang w:val="tr-TR"/>
        </w:rPr>
        <w:t xml:space="preserve">nün, İstanbul Araştırmaları Dizisi kapsamındaki yeni kitabı </w:t>
      </w:r>
      <w:r w:rsidRPr="00893B97">
        <w:rPr>
          <w:rFonts w:ascii="Calibri" w:hAnsi="Calibri" w:cstheme="majorBidi"/>
          <w:b/>
          <w:i/>
          <w:lang w:val="tr-TR"/>
        </w:rPr>
        <w:t>Bekâr Odaları</w:t>
      </w:r>
      <w:r w:rsidR="0000326E" w:rsidRPr="00893B97">
        <w:rPr>
          <w:rFonts w:ascii="Calibri" w:hAnsi="Calibri" w:cstheme="majorBidi"/>
          <w:b/>
          <w:i/>
          <w:lang w:val="tr-TR"/>
        </w:rPr>
        <w:t xml:space="preserve"> </w:t>
      </w:r>
      <w:r w:rsidRPr="00893B97">
        <w:rPr>
          <w:rFonts w:ascii="Calibri" w:hAnsi="Calibri" w:cstheme="majorBidi"/>
          <w:b/>
          <w:i/>
          <w:lang w:val="tr-TR"/>
        </w:rPr>
        <w:t>ve</w:t>
      </w:r>
      <w:r w:rsidR="0000326E" w:rsidRPr="00893B97">
        <w:rPr>
          <w:rFonts w:ascii="Calibri" w:hAnsi="Calibri" w:cstheme="majorBidi"/>
          <w:b/>
          <w:i/>
          <w:lang w:val="tr-TR"/>
        </w:rPr>
        <w:t xml:space="preserve"> </w:t>
      </w:r>
      <w:r w:rsidRPr="00893B97">
        <w:rPr>
          <w:rFonts w:ascii="Calibri" w:hAnsi="Calibri" w:cstheme="majorBidi"/>
          <w:b/>
          <w:i/>
          <w:lang w:val="tr-TR"/>
        </w:rPr>
        <w:t>Meyhaneler</w:t>
      </w:r>
      <w:r w:rsidRPr="00893B97">
        <w:rPr>
          <w:rFonts w:ascii="Calibri" w:hAnsi="Calibri" w:cstheme="majorBidi"/>
          <w:b/>
          <w:lang w:val="tr-TR"/>
        </w:rPr>
        <w:t xml:space="preserve"> yayınlandı. </w:t>
      </w:r>
      <w:r w:rsidR="00561BBD" w:rsidRPr="00893B97">
        <w:rPr>
          <w:rFonts w:ascii="Calibri" w:hAnsi="Calibri" w:cstheme="majorBidi"/>
          <w:b/>
          <w:lang w:val="tr-TR"/>
        </w:rPr>
        <w:t xml:space="preserve">18 </w:t>
      </w:r>
      <w:r w:rsidR="00286986" w:rsidRPr="00893B97">
        <w:rPr>
          <w:rFonts w:ascii="Calibri" w:hAnsi="Calibri" w:cstheme="majorBidi"/>
          <w:b/>
          <w:lang w:val="tr-TR"/>
        </w:rPr>
        <w:t>-</w:t>
      </w:r>
      <w:r w:rsidR="00561BBD" w:rsidRPr="00893B97">
        <w:rPr>
          <w:rFonts w:ascii="Calibri" w:hAnsi="Calibri" w:cstheme="majorBidi"/>
          <w:b/>
          <w:lang w:val="tr-TR"/>
        </w:rPr>
        <w:t xml:space="preserve"> </w:t>
      </w:r>
      <w:r w:rsidR="00286986" w:rsidRPr="00893B97">
        <w:rPr>
          <w:rFonts w:ascii="Calibri" w:hAnsi="Calibri" w:cstheme="majorBidi"/>
          <w:b/>
          <w:lang w:val="tr-TR"/>
        </w:rPr>
        <w:t>19 yy.</w:t>
      </w:r>
      <w:r w:rsidRPr="00893B97">
        <w:rPr>
          <w:rFonts w:ascii="Calibri" w:hAnsi="Calibri" w:cstheme="majorBidi"/>
          <w:b/>
          <w:lang w:val="tr-TR"/>
        </w:rPr>
        <w:t xml:space="preserve"> Osmanlı </w:t>
      </w:r>
      <w:proofErr w:type="spellStart"/>
      <w:r w:rsidRPr="00893B97">
        <w:rPr>
          <w:rFonts w:ascii="Calibri" w:hAnsi="Calibri" w:cstheme="majorBidi"/>
          <w:b/>
          <w:lang w:val="tr-TR"/>
        </w:rPr>
        <w:t>İstanbulu’nda</w:t>
      </w:r>
      <w:proofErr w:type="spellEnd"/>
      <w:r w:rsidRPr="00893B97">
        <w:rPr>
          <w:rFonts w:ascii="Calibri" w:hAnsi="Calibri" w:cstheme="majorBidi"/>
          <w:b/>
          <w:lang w:val="tr-TR"/>
        </w:rPr>
        <w:t xml:space="preserve"> </w:t>
      </w:r>
      <w:proofErr w:type="spellStart"/>
      <w:r w:rsidRPr="00893B97">
        <w:rPr>
          <w:rFonts w:ascii="Calibri" w:hAnsi="Calibri" w:cstheme="majorBidi"/>
          <w:b/>
          <w:lang w:val="tr-TR"/>
        </w:rPr>
        <w:t>marjinalite</w:t>
      </w:r>
      <w:proofErr w:type="spellEnd"/>
      <w:r w:rsidRPr="00893B97">
        <w:rPr>
          <w:rFonts w:ascii="Calibri" w:hAnsi="Calibri" w:cstheme="majorBidi"/>
          <w:b/>
          <w:lang w:val="tr-TR"/>
        </w:rPr>
        <w:t xml:space="preserve"> ve mekân </w:t>
      </w:r>
      <w:r w:rsidR="00286986" w:rsidRPr="00893B97">
        <w:rPr>
          <w:rFonts w:ascii="Calibri" w:hAnsi="Calibri" w:cstheme="majorBidi"/>
          <w:b/>
          <w:lang w:val="tr-TR"/>
        </w:rPr>
        <w:t>konularını</w:t>
      </w:r>
      <w:r w:rsidRPr="00893B97">
        <w:rPr>
          <w:rFonts w:ascii="Calibri" w:hAnsi="Calibri" w:cstheme="majorBidi"/>
          <w:b/>
          <w:lang w:val="tr-TR"/>
        </w:rPr>
        <w:t xml:space="preserve"> ele alan kitap, </w:t>
      </w:r>
      <w:proofErr w:type="spellStart"/>
      <w:r w:rsidRPr="00893B97">
        <w:rPr>
          <w:rFonts w:ascii="Calibri" w:hAnsi="Calibri" w:cstheme="majorBidi"/>
          <w:b/>
          <w:lang w:val="tr-TR"/>
        </w:rPr>
        <w:t>Yard</w:t>
      </w:r>
      <w:proofErr w:type="spellEnd"/>
      <w:r w:rsidRPr="00893B97">
        <w:rPr>
          <w:rFonts w:ascii="Calibri" w:hAnsi="Calibri" w:cstheme="majorBidi"/>
          <w:b/>
          <w:lang w:val="tr-TR"/>
        </w:rPr>
        <w:t xml:space="preserve">. Doç. Işıl </w:t>
      </w:r>
      <w:proofErr w:type="spellStart"/>
      <w:r w:rsidRPr="00893B97">
        <w:rPr>
          <w:rFonts w:ascii="Calibri" w:hAnsi="Calibri" w:cstheme="majorBidi"/>
          <w:b/>
          <w:lang w:val="tr-TR"/>
        </w:rPr>
        <w:t>Çokuğraş</w:t>
      </w:r>
      <w:proofErr w:type="spellEnd"/>
      <w:r w:rsidRPr="00893B97">
        <w:rPr>
          <w:rFonts w:ascii="Calibri" w:hAnsi="Calibri" w:cstheme="majorBidi"/>
          <w:b/>
          <w:lang w:val="tr-TR"/>
        </w:rPr>
        <w:t xml:space="preserve"> tarafından hazırlandı.  </w:t>
      </w:r>
    </w:p>
    <w:p w:rsidR="00187DFD" w:rsidRPr="00893B97" w:rsidRDefault="00187DFD" w:rsidP="00561BBD">
      <w:pPr>
        <w:jc w:val="both"/>
        <w:rPr>
          <w:rFonts w:ascii="Calibri" w:hAnsi="Calibri" w:cs="Arial"/>
          <w:b/>
          <w:lang w:val="tr-TR"/>
        </w:rPr>
      </w:pPr>
    </w:p>
    <w:p w:rsidR="00561BBD" w:rsidRPr="00893B97" w:rsidRDefault="002003C0" w:rsidP="00561BBD">
      <w:pPr>
        <w:pStyle w:val="Default"/>
        <w:jc w:val="both"/>
        <w:rPr>
          <w:rFonts w:ascii="Calibri" w:hAnsi="Calibri" w:cstheme="majorBidi"/>
        </w:rPr>
      </w:pPr>
      <w:r w:rsidRPr="00893B97">
        <w:rPr>
          <w:rFonts w:ascii="Calibri" w:hAnsi="Calibri" w:cstheme="majorBidi"/>
          <w:b/>
          <w:i/>
          <w:color w:val="auto"/>
        </w:rPr>
        <w:t>Bekâr Odaları ve Meyhaneler</w:t>
      </w:r>
      <w:r w:rsidRPr="00893B97">
        <w:rPr>
          <w:rFonts w:ascii="Calibri" w:hAnsi="Calibri" w:cstheme="majorBidi"/>
          <w:color w:val="auto"/>
        </w:rPr>
        <w:t>,</w:t>
      </w:r>
      <w:r w:rsidRPr="00893B97">
        <w:rPr>
          <w:rFonts w:ascii="Calibri" w:hAnsi="Calibri" w:cstheme="majorBidi"/>
          <w:b/>
          <w:color w:val="auto"/>
        </w:rPr>
        <w:t xml:space="preserve"> </w:t>
      </w:r>
      <w:r w:rsidR="00286986" w:rsidRPr="00893B97">
        <w:rPr>
          <w:rFonts w:ascii="Calibri" w:hAnsi="Calibri" w:cstheme="majorBidi"/>
        </w:rPr>
        <w:t>g</w:t>
      </w:r>
      <w:r w:rsidRPr="00893B97">
        <w:rPr>
          <w:rFonts w:ascii="Calibri" w:hAnsi="Calibri" w:cstheme="majorBidi"/>
        </w:rPr>
        <w:t>eç 18.</w:t>
      </w:r>
      <w:r w:rsidR="00B34C4A" w:rsidRPr="00893B97">
        <w:rPr>
          <w:rFonts w:ascii="Calibri" w:hAnsi="Calibri" w:cstheme="majorBidi"/>
        </w:rPr>
        <w:t xml:space="preserve"> yüzyıldan </w:t>
      </w:r>
      <w:r w:rsidRPr="00893B97">
        <w:rPr>
          <w:rFonts w:ascii="Calibri" w:hAnsi="Calibri" w:cstheme="majorBidi"/>
        </w:rPr>
        <w:t xml:space="preserve">erken 19. </w:t>
      </w:r>
      <w:r w:rsidR="00286986" w:rsidRPr="00893B97">
        <w:rPr>
          <w:rFonts w:ascii="Calibri" w:hAnsi="Calibri" w:cstheme="majorBidi"/>
        </w:rPr>
        <w:t>y</w:t>
      </w:r>
      <w:r w:rsidRPr="00893B97">
        <w:rPr>
          <w:rFonts w:ascii="Calibri" w:hAnsi="Calibri" w:cstheme="majorBidi"/>
        </w:rPr>
        <w:t xml:space="preserve">üzyıl Osmanlı </w:t>
      </w:r>
      <w:proofErr w:type="spellStart"/>
      <w:r w:rsidRPr="00893B97">
        <w:rPr>
          <w:rFonts w:ascii="Calibri" w:hAnsi="Calibri" w:cstheme="majorBidi"/>
        </w:rPr>
        <w:t>İstanbulu</w:t>
      </w:r>
      <w:r w:rsidR="00B60FA6" w:rsidRPr="00893B97">
        <w:rPr>
          <w:rFonts w:ascii="Calibri" w:hAnsi="Calibri" w:cstheme="majorBidi"/>
        </w:rPr>
        <w:t>’nda</w:t>
      </w:r>
      <w:proofErr w:type="spellEnd"/>
      <w:r w:rsidRPr="00893B97">
        <w:rPr>
          <w:rFonts w:ascii="Calibri" w:hAnsi="Calibri" w:cstheme="majorBidi"/>
        </w:rPr>
        <w:t xml:space="preserve"> </w:t>
      </w:r>
      <w:r w:rsidR="00B60FA6" w:rsidRPr="00893B97">
        <w:rPr>
          <w:rFonts w:ascii="Calibri" w:hAnsi="Calibri" w:cstheme="majorBidi"/>
        </w:rPr>
        <w:t xml:space="preserve">mahalle dışı yaşantıya odaklanarak </w:t>
      </w:r>
      <w:r w:rsidR="00B34C4A" w:rsidRPr="00893B97">
        <w:rPr>
          <w:rFonts w:ascii="Calibri" w:hAnsi="Calibri" w:cstheme="majorBidi"/>
        </w:rPr>
        <w:t xml:space="preserve">bu özel iki mekân üzerinden </w:t>
      </w:r>
      <w:proofErr w:type="spellStart"/>
      <w:r w:rsidRPr="00893B97">
        <w:rPr>
          <w:rFonts w:ascii="Calibri" w:hAnsi="Calibri" w:cstheme="majorBidi"/>
        </w:rPr>
        <w:t>marjinalite</w:t>
      </w:r>
      <w:proofErr w:type="spellEnd"/>
      <w:r w:rsidRPr="00893B97">
        <w:rPr>
          <w:rFonts w:ascii="Calibri" w:hAnsi="Calibri" w:cstheme="majorBidi"/>
        </w:rPr>
        <w:t>, tekinsizlik, denetim gibi kavramlar</w:t>
      </w:r>
      <w:r w:rsidR="00B60FA6" w:rsidRPr="00893B97">
        <w:rPr>
          <w:rFonts w:ascii="Calibri" w:hAnsi="Calibri" w:cstheme="majorBidi"/>
        </w:rPr>
        <w:t>ın izlerini</w:t>
      </w:r>
      <w:r w:rsidRPr="00893B97">
        <w:rPr>
          <w:rFonts w:ascii="Calibri" w:hAnsi="Calibri" w:cstheme="majorBidi"/>
        </w:rPr>
        <w:t xml:space="preserve"> </w:t>
      </w:r>
      <w:r w:rsidR="00B34C4A" w:rsidRPr="00893B97">
        <w:rPr>
          <w:rFonts w:ascii="Calibri" w:hAnsi="Calibri" w:cstheme="majorBidi"/>
        </w:rPr>
        <w:t>sürüyor.</w:t>
      </w:r>
      <w:r w:rsidRPr="00893B97">
        <w:rPr>
          <w:rFonts w:ascii="Calibri" w:hAnsi="Calibri" w:cstheme="majorBidi"/>
        </w:rPr>
        <w:t xml:space="preserve"> </w:t>
      </w:r>
      <w:r w:rsidR="00B34C4A" w:rsidRPr="00893B97">
        <w:rPr>
          <w:rFonts w:ascii="Calibri" w:hAnsi="Calibri" w:cstheme="majorBidi"/>
        </w:rPr>
        <w:t>Bekâr odaları ve meyhaneler</w:t>
      </w:r>
      <w:r w:rsidRPr="00893B97">
        <w:rPr>
          <w:rFonts w:ascii="Calibri" w:hAnsi="Calibri" w:cstheme="majorBidi"/>
        </w:rPr>
        <w:t>, dönemin</w:t>
      </w:r>
      <w:r w:rsidR="00E034C4" w:rsidRPr="00893B97">
        <w:rPr>
          <w:rFonts w:ascii="Calibri" w:hAnsi="Calibri" w:cstheme="majorBidi"/>
        </w:rPr>
        <w:t xml:space="preserve"> </w:t>
      </w:r>
      <w:r w:rsidR="008148BA" w:rsidRPr="00893B97">
        <w:rPr>
          <w:rFonts w:ascii="Calibri" w:hAnsi="Calibri" w:cstheme="majorBidi"/>
        </w:rPr>
        <w:t>i</w:t>
      </w:r>
      <w:r w:rsidR="009F5277" w:rsidRPr="00893B97">
        <w:rPr>
          <w:rFonts w:ascii="Calibri" w:hAnsi="Calibri"/>
        </w:rPr>
        <w:t>ktidar</w:t>
      </w:r>
      <w:r w:rsidRPr="00893B97">
        <w:rPr>
          <w:rFonts w:ascii="Calibri" w:hAnsi="Calibri"/>
        </w:rPr>
        <w:t>ı</w:t>
      </w:r>
      <w:r w:rsidR="009F5277" w:rsidRPr="00893B97">
        <w:rPr>
          <w:rFonts w:ascii="Calibri" w:hAnsi="Calibri"/>
        </w:rPr>
        <w:t xml:space="preserve"> tarafından suçun ve</w:t>
      </w:r>
      <w:r w:rsidR="00B9287B" w:rsidRPr="00893B97">
        <w:rPr>
          <w:rFonts w:ascii="Calibri" w:hAnsi="Calibri"/>
        </w:rPr>
        <w:t xml:space="preserve"> </w:t>
      </w:r>
      <w:proofErr w:type="gramStart"/>
      <w:r w:rsidR="00B9287B" w:rsidRPr="00893B97">
        <w:rPr>
          <w:rFonts w:ascii="Calibri" w:hAnsi="Calibri"/>
        </w:rPr>
        <w:t>marjinal</w:t>
      </w:r>
      <w:proofErr w:type="gramEnd"/>
      <w:r w:rsidR="008148BA" w:rsidRPr="00893B97">
        <w:rPr>
          <w:rFonts w:ascii="Calibri" w:hAnsi="Calibri"/>
        </w:rPr>
        <w:t xml:space="preserve"> yaşamın</w:t>
      </w:r>
      <w:r w:rsidR="00B9287B" w:rsidRPr="00893B97">
        <w:rPr>
          <w:rFonts w:ascii="Calibri" w:hAnsi="Calibri"/>
        </w:rPr>
        <w:t xml:space="preserve"> </w:t>
      </w:r>
      <w:r w:rsidR="008148BA" w:rsidRPr="00893B97">
        <w:rPr>
          <w:rFonts w:ascii="Calibri" w:hAnsi="Calibri"/>
        </w:rPr>
        <w:t xml:space="preserve">göstergesi </w:t>
      </w:r>
      <w:r w:rsidR="00B9287B" w:rsidRPr="00893B97">
        <w:rPr>
          <w:rFonts w:ascii="Calibri" w:hAnsi="Calibri"/>
        </w:rPr>
        <w:t>olarak görül</w:t>
      </w:r>
      <w:r w:rsidR="00B60FA6" w:rsidRPr="00893B97">
        <w:rPr>
          <w:rFonts w:ascii="Calibri" w:hAnsi="Calibri"/>
        </w:rPr>
        <w:t xml:space="preserve">ürken, </w:t>
      </w:r>
      <w:r w:rsidR="009F5277" w:rsidRPr="00893B97">
        <w:rPr>
          <w:rFonts w:ascii="Calibri" w:hAnsi="Calibri"/>
        </w:rPr>
        <w:t>sürekli olarak denetime</w:t>
      </w:r>
      <w:r w:rsidR="003D3676" w:rsidRPr="00893B97">
        <w:rPr>
          <w:rFonts w:ascii="Calibri" w:hAnsi="Calibri"/>
        </w:rPr>
        <w:t xml:space="preserve"> ve </w:t>
      </w:r>
      <w:r w:rsidR="009F5277" w:rsidRPr="00893B97">
        <w:rPr>
          <w:rFonts w:ascii="Calibri" w:hAnsi="Calibri"/>
        </w:rPr>
        <w:t xml:space="preserve">kapatmalara maruz </w:t>
      </w:r>
      <w:r w:rsidRPr="00893B97">
        <w:rPr>
          <w:rFonts w:ascii="Calibri" w:hAnsi="Calibri"/>
        </w:rPr>
        <w:t>kal</w:t>
      </w:r>
      <w:r w:rsidR="003D3676" w:rsidRPr="00893B97">
        <w:rPr>
          <w:rFonts w:ascii="Calibri" w:hAnsi="Calibri"/>
        </w:rPr>
        <w:t>dı. Buna rağmen v</w:t>
      </w:r>
      <w:r w:rsidR="009F5277" w:rsidRPr="00893B97">
        <w:rPr>
          <w:rFonts w:ascii="Calibri" w:hAnsi="Calibri"/>
        </w:rPr>
        <w:t>arlıklarını ve yaygınlıklarını</w:t>
      </w:r>
      <w:r w:rsidR="00B34C4A" w:rsidRPr="00893B97">
        <w:rPr>
          <w:rFonts w:ascii="Calibri" w:hAnsi="Calibri"/>
        </w:rPr>
        <w:t xml:space="preserve"> uzun süre koruyan bu iki mekân</w:t>
      </w:r>
      <w:r w:rsidR="00B60FA6" w:rsidRPr="00893B97">
        <w:rPr>
          <w:rFonts w:ascii="Calibri" w:hAnsi="Calibri"/>
        </w:rPr>
        <w:t xml:space="preserve"> kent tarihinin </w:t>
      </w:r>
      <w:proofErr w:type="spellStart"/>
      <w:r w:rsidR="00B60FA6" w:rsidRPr="00893B97">
        <w:rPr>
          <w:rFonts w:ascii="Calibri" w:hAnsi="Calibri"/>
        </w:rPr>
        <w:t>sosyo</w:t>
      </w:r>
      <w:proofErr w:type="spellEnd"/>
      <w:r w:rsidR="00B60FA6" w:rsidRPr="00893B97">
        <w:rPr>
          <w:rFonts w:ascii="Calibri" w:hAnsi="Calibri"/>
        </w:rPr>
        <w:t xml:space="preserve">-kültürel yaşamında etken rol oynadı. </w:t>
      </w:r>
      <w:r w:rsidR="00C94006" w:rsidRPr="00893B97">
        <w:rPr>
          <w:rFonts w:ascii="Calibri" w:hAnsi="Calibri" w:cstheme="majorBidi"/>
          <w:color w:val="auto"/>
        </w:rPr>
        <w:t>Kitap,</w:t>
      </w:r>
      <w:r w:rsidR="00C94006" w:rsidRPr="00893B97">
        <w:rPr>
          <w:rFonts w:ascii="Calibri" w:hAnsi="Calibri" w:cstheme="majorBidi"/>
          <w:b/>
          <w:i/>
          <w:color w:val="auto"/>
        </w:rPr>
        <w:t xml:space="preserve"> </w:t>
      </w:r>
      <w:r w:rsidR="00C94006" w:rsidRPr="00893B97">
        <w:rPr>
          <w:rFonts w:ascii="Calibri" w:hAnsi="Calibri" w:cstheme="majorBidi"/>
        </w:rPr>
        <w:t xml:space="preserve">bekâr odaları </w:t>
      </w:r>
      <w:r w:rsidR="005C5220" w:rsidRPr="00893B97">
        <w:rPr>
          <w:rFonts w:ascii="Calibri" w:hAnsi="Calibri" w:cstheme="majorBidi"/>
        </w:rPr>
        <w:t>ile</w:t>
      </w:r>
      <w:r w:rsidR="00C94006" w:rsidRPr="00893B97">
        <w:rPr>
          <w:rFonts w:ascii="Calibri" w:hAnsi="Calibri" w:cstheme="majorBidi"/>
        </w:rPr>
        <w:t xml:space="preserve"> meyhanelerin iktidarla ve toplumla ilişkilerini belgeler ışında değerlendiriyor, kent içindeki dağılımlarını tespit ediyor. </w:t>
      </w:r>
      <w:r w:rsidR="00B34C4A" w:rsidRPr="00893B97">
        <w:rPr>
          <w:rFonts w:ascii="Calibri" w:hAnsi="Calibri" w:cstheme="majorBidi"/>
        </w:rPr>
        <w:t>Osmanlı kent tarihin</w:t>
      </w:r>
      <w:r w:rsidR="00286986" w:rsidRPr="00893B97">
        <w:rPr>
          <w:rFonts w:ascii="Calibri" w:hAnsi="Calibri" w:cstheme="majorBidi"/>
        </w:rPr>
        <w:t>e</w:t>
      </w:r>
      <w:r w:rsidR="00B34C4A" w:rsidRPr="00893B97">
        <w:rPr>
          <w:rFonts w:ascii="Calibri" w:hAnsi="Calibri" w:cstheme="majorBidi"/>
        </w:rPr>
        <w:t xml:space="preserve"> dair saray çevresi, </w:t>
      </w:r>
      <w:r w:rsidR="00286986" w:rsidRPr="00893B97">
        <w:rPr>
          <w:rFonts w:ascii="Calibri" w:hAnsi="Calibri" w:cstheme="majorBidi"/>
        </w:rPr>
        <w:t xml:space="preserve">toplumun </w:t>
      </w:r>
      <w:r w:rsidR="00B34C4A" w:rsidRPr="00893B97">
        <w:rPr>
          <w:rFonts w:ascii="Calibri" w:hAnsi="Calibri" w:cstheme="majorBidi"/>
        </w:rPr>
        <w:t xml:space="preserve">üst sınıf ve </w:t>
      </w:r>
      <w:r w:rsidR="00286986" w:rsidRPr="00893B97">
        <w:rPr>
          <w:rFonts w:ascii="Calibri" w:hAnsi="Calibri" w:cstheme="majorBidi"/>
        </w:rPr>
        <w:t xml:space="preserve">belli kesimleri </w:t>
      </w:r>
      <w:r w:rsidR="00B34C4A" w:rsidRPr="00893B97">
        <w:rPr>
          <w:rFonts w:ascii="Calibri" w:hAnsi="Calibri" w:cstheme="majorBidi"/>
        </w:rPr>
        <w:t>etrafında gelişen kent</w:t>
      </w:r>
      <w:r w:rsidR="00286986" w:rsidRPr="00893B97">
        <w:rPr>
          <w:rFonts w:ascii="Calibri" w:hAnsi="Calibri" w:cstheme="majorBidi"/>
        </w:rPr>
        <w:t xml:space="preserve"> tarih</w:t>
      </w:r>
      <w:r w:rsidR="00B34C4A" w:rsidRPr="00893B97">
        <w:rPr>
          <w:rFonts w:ascii="Calibri" w:hAnsi="Calibri" w:cstheme="majorBidi"/>
        </w:rPr>
        <w:t>i</w:t>
      </w:r>
      <w:r w:rsidR="00286986" w:rsidRPr="00893B97">
        <w:rPr>
          <w:rFonts w:ascii="Calibri" w:hAnsi="Calibri" w:cstheme="majorBidi"/>
        </w:rPr>
        <w:t xml:space="preserve"> anlatılarına alternatif bir bakış sunuyor.</w:t>
      </w:r>
    </w:p>
    <w:p w:rsidR="00561BBD" w:rsidRPr="00893B97" w:rsidRDefault="00561BBD" w:rsidP="00561BBD">
      <w:pPr>
        <w:pStyle w:val="Default"/>
        <w:jc w:val="both"/>
        <w:rPr>
          <w:rFonts w:ascii="Calibri" w:hAnsi="Calibri" w:cstheme="majorBidi"/>
        </w:rPr>
      </w:pPr>
    </w:p>
    <w:p w:rsidR="00E14AC4" w:rsidRPr="00893B97" w:rsidRDefault="00E14AC4" w:rsidP="00561BBD">
      <w:pPr>
        <w:pStyle w:val="Default"/>
        <w:jc w:val="both"/>
        <w:rPr>
          <w:rStyle w:val="A9"/>
          <w:rFonts w:ascii="Calibri" w:hAnsi="Calibri" w:cstheme="majorBidi"/>
        </w:rPr>
      </w:pPr>
      <w:r w:rsidRPr="00893B97">
        <w:rPr>
          <w:rFonts w:ascii="Calibri" w:hAnsi="Calibri" w:cs="Arial"/>
        </w:rPr>
        <w:t>İstanbul’un Avru</w:t>
      </w:r>
      <w:r w:rsidRPr="00893B97">
        <w:rPr>
          <w:rFonts w:ascii="Calibri" w:hAnsi="Calibri" w:cs="Arial"/>
        </w:rPr>
        <w:softHyphen/>
        <w:t>pa metropolleri gibi çok katmanlı, kaotik bir sosyal yapıya sahip, değişimlerin ve çatışmaların yaşandığı bir kent olduğunu</w:t>
      </w:r>
      <w:r w:rsidRPr="00893B97">
        <w:rPr>
          <w:rFonts w:ascii="Calibri" w:hAnsi="Calibri" w:cs="Arial"/>
          <w:i/>
          <w:iCs/>
        </w:rPr>
        <w:t xml:space="preserve"> </w:t>
      </w:r>
      <w:r w:rsidRPr="00893B97">
        <w:rPr>
          <w:rFonts w:ascii="Calibri" w:hAnsi="Calibri" w:cs="Arial"/>
        </w:rPr>
        <w:t xml:space="preserve">ifade eden Işıl </w:t>
      </w:r>
      <w:proofErr w:type="spellStart"/>
      <w:r w:rsidRPr="00893B97">
        <w:rPr>
          <w:rFonts w:ascii="Calibri" w:hAnsi="Calibri" w:cs="Arial"/>
        </w:rPr>
        <w:t>Çokuğraş</w:t>
      </w:r>
      <w:proofErr w:type="spellEnd"/>
      <w:r w:rsidRPr="00893B97">
        <w:rPr>
          <w:rFonts w:ascii="Calibri" w:hAnsi="Calibri" w:cs="Arial"/>
        </w:rPr>
        <w:t xml:space="preserve">, </w:t>
      </w:r>
      <w:r w:rsidRPr="00893B97">
        <w:rPr>
          <w:rFonts w:ascii="Calibri" w:hAnsi="Calibri" w:cs="Arial"/>
          <w:i/>
          <w:iCs/>
        </w:rPr>
        <w:t xml:space="preserve">“İstanbul, suçtan ve toplum dışı olandan arınmış, </w:t>
      </w:r>
      <w:proofErr w:type="gramStart"/>
      <w:r w:rsidRPr="00893B97">
        <w:rPr>
          <w:rFonts w:ascii="Calibri" w:hAnsi="Calibri" w:cs="Arial"/>
          <w:i/>
          <w:iCs/>
        </w:rPr>
        <w:t>steril</w:t>
      </w:r>
      <w:proofErr w:type="gramEnd"/>
      <w:r w:rsidRPr="00893B97">
        <w:rPr>
          <w:rFonts w:ascii="Calibri" w:hAnsi="Calibri" w:cs="Arial"/>
          <w:i/>
          <w:iCs/>
        </w:rPr>
        <w:t xml:space="preserve"> bir kent miydi?” </w:t>
      </w:r>
      <w:r w:rsidRPr="00893B97">
        <w:rPr>
          <w:rFonts w:ascii="Calibri" w:hAnsi="Calibri" w:cs="Arial"/>
        </w:rPr>
        <w:t xml:space="preserve">sorusuna cevap arıyor. </w:t>
      </w:r>
      <w:proofErr w:type="spellStart"/>
      <w:r w:rsidRPr="00893B97">
        <w:rPr>
          <w:rFonts w:ascii="Calibri" w:hAnsi="Calibri" w:cs="Arial"/>
        </w:rPr>
        <w:t>Çokuğraş</w:t>
      </w:r>
      <w:proofErr w:type="spellEnd"/>
      <w:r w:rsidRPr="00893B97">
        <w:rPr>
          <w:rFonts w:ascii="Calibri" w:hAnsi="Calibri" w:cs="Arial"/>
        </w:rPr>
        <w:t xml:space="preserve">, araştırma kapsamında incelediği Osmanlı Arşivi’nin son derece detaylı bilgiler içerdiğini, </w:t>
      </w:r>
      <w:proofErr w:type="gramStart"/>
      <w:r w:rsidRPr="00893B97">
        <w:rPr>
          <w:rFonts w:ascii="Calibri" w:hAnsi="Calibri" w:cs="Arial"/>
        </w:rPr>
        <w:t>mekanların</w:t>
      </w:r>
      <w:proofErr w:type="gramEnd"/>
      <w:r w:rsidRPr="00893B97">
        <w:rPr>
          <w:rFonts w:ascii="Calibri" w:hAnsi="Calibri" w:cs="Arial"/>
        </w:rPr>
        <w:t xml:space="preserve"> dağılım ve konum bilgileri ile </w:t>
      </w:r>
      <w:r w:rsidRPr="00893B97">
        <w:rPr>
          <w:rStyle w:val="A9"/>
          <w:rFonts w:ascii="Calibri" w:hAnsi="Calibri" w:cs="Arial"/>
        </w:rPr>
        <w:t>kapatma baskısının hangi dönemlerde yo</w:t>
      </w:r>
      <w:r w:rsidRPr="00893B97">
        <w:rPr>
          <w:rStyle w:val="A9"/>
          <w:rFonts w:ascii="Calibri" w:hAnsi="Calibri" w:cs="Arial"/>
        </w:rPr>
        <w:softHyphen/>
        <w:t>ğunlaştığı gibi merak uyandıran konulara da ışık tuttuğunu belirtiyor.  </w:t>
      </w:r>
    </w:p>
    <w:p w:rsidR="00C104F7" w:rsidRDefault="00C104F7" w:rsidP="00561BBD">
      <w:pPr>
        <w:jc w:val="both"/>
        <w:rPr>
          <w:rStyle w:val="A9"/>
          <w:rFonts w:ascii="Calibri" w:hAnsi="Calibri"/>
          <w:lang w:val="tr-TR"/>
        </w:rPr>
      </w:pPr>
    </w:p>
    <w:p w:rsidR="00893B97" w:rsidRPr="004F340E" w:rsidRDefault="00893B97" w:rsidP="00893B97">
      <w:pPr>
        <w:jc w:val="both"/>
        <w:rPr>
          <w:rFonts w:ascii="Calibri" w:hAnsi="Calibri" w:cstheme="majorBidi"/>
          <w:b/>
          <w:color w:val="C00000"/>
          <w:lang w:val="tr-TR"/>
        </w:rPr>
      </w:pPr>
      <w:r w:rsidRPr="004F340E">
        <w:rPr>
          <w:rFonts w:ascii="Calibri" w:hAnsi="Calibri" w:cstheme="majorBidi"/>
          <w:b/>
          <w:color w:val="C00000"/>
          <w:lang w:val="tr-TR"/>
        </w:rPr>
        <w:t xml:space="preserve">Kitap tüm seçkin kitapçılardan, </w:t>
      </w:r>
      <w:proofErr w:type="spellStart"/>
      <w:r w:rsidRPr="004F340E">
        <w:rPr>
          <w:rFonts w:ascii="Calibri" w:hAnsi="Calibri" w:cstheme="majorBidi"/>
          <w:b/>
          <w:color w:val="C00000"/>
          <w:lang w:val="tr-TR"/>
        </w:rPr>
        <w:t>Pera</w:t>
      </w:r>
      <w:proofErr w:type="spellEnd"/>
      <w:r w:rsidRPr="004F340E">
        <w:rPr>
          <w:rFonts w:ascii="Calibri" w:hAnsi="Calibri" w:cstheme="majorBidi"/>
          <w:b/>
          <w:color w:val="C00000"/>
          <w:lang w:val="tr-TR"/>
        </w:rPr>
        <w:t xml:space="preserve"> Müzesi veya İstanbul Araştırmaları Enstitüsü’nden satın alınabilir. </w:t>
      </w:r>
      <w:r w:rsidRPr="004F340E">
        <w:rPr>
          <w:rFonts w:ascii="Calibri" w:hAnsi="Calibri" w:cstheme="majorBidi"/>
          <w:b/>
          <w:i/>
          <w:color w:val="C00000"/>
          <w:lang w:val="tr-TR"/>
        </w:rPr>
        <w:t xml:space="preserve">Bekâr Odaları ve </w:t>
      </w:r>
      <w:proofErr w:type="spellStart"/>
      <w:r w:rsidRPr="004F340E">
        <w:rPr>
          <w:rFonts w:ascii="Calibri" w:hAnsi="Calibri" w:cstheme="majorBidi"/>
          <w:b/>
          <w:i/>
          <w:color w:val="C00000"/>
          <w:lang w:val="tr-TR"/>
        </w:rPr>
        <w:t>Meyhaneler</w:t>
      </w:r>
      <w:r w:rsidRPr="004F340E">
        <w:rPr>
          <w:rFonts w:ascii="Calibri" w:hAnsi="Calibri" w:cstheme="majorBidi"/>
          <w:b/>
          <w:color w:val="C00000"/>
          <w:lang w:val="tr-TR"/>
        </w:rPr>
        <w:t>’e</w:t>
      </w:r>
      <w:proofErr w:type="spellEnd"/>
      <w:r w:rsidRPr="004F340E">
        <w:rPr>
          <w:rFonts w:ascii="Calibri" w:hAnsi="Calibri" w:cstheme="majorBidi"/>
          <w:b/>
          <w:color w:val="C00000"/>
          <w:lang w:val="tr-TR"/>
        </w:rPr>
        <w:t xml:space="preserve"> ayrıca </w:t>
      </w:r>
      <w:r w:rsidR="004F340E" w:rsidRPr="004F340E">
        <w:rPr>
          <w:rFonts w:ascii="Calibri" w:hAnsi="Calibri" w:cstheme="majorBidi"/>
          <w:b/>
          <w:color w:val="C00000"/>
          <w:lang w:val="tr-TR"/>
        </w:rPr>
        <w:t xml:space="preserve">internet üzerinden </w:t>
      </w:r>
      <w:hyperlink r:id="rId8" w:history="1">
        <w:proofErr w:type="spellStart"/>
        <w:r w:rsidR="004F340E" w:rsidRPr="004F340E">
          <w:rPr>
            <w:rStyle w:val="Hyperlink"/>
            <w:rFonts w:ascii="Calibri" w:hAnsi="Calibri" w:cstheme="majorBidi"/>
            <w:b/>
            <w:color w:val="C00000"/>
            <w:lang w:val="tr-TR"/>
          </w:rPr>
          <w:t>Pera</w:t>
        </w:r>
        <w:proofErr w:type="spellEnd"/>
        <w:r w:rsidR="004F340E" w:rsidRPr="004F340E">
          <w:rPr>
            <w:rStyle w:val="Hyperlink"/>
            <w:rFonts w:ascii="Calibri" w:hAnsi="Calibri" w:cstheme="majorBidi"/>
            <w:b/>
            <w:color w:val="C00000"/>
            <w:lang w:val="tr-TR"/>
          </w:rPr>
          <w:t xml:space="preserve"> Müzesi Online Kitabevi</w:t>
        </w:r>
      </w:hyperlink>
      <w:r w:rsidR="004F340E" w:rsidRPr="004F340E">
        <w:rPr>
          <w:rFonts w:ascii="Calibri" w:hAnsi="Calibri" w:cstheme="majorBidi"/>
          <w:b/>
          <w:color w:val="C00000"/>
          <w:u w:val="single"/>
          <w:lang w:val="tr-TR"/>
        </w:rPr>
        <w:t xml:space="preserve"> </w:t>
      </w:r>
      <w:r w:rsidR="004F340E" w:rsidRPr="004F340E">
        <w:rPr>
          <w:rFonts w:ascii="Calibri" w:hAnsi="Calibri" w:cstheme="majorBidi"/>
          <w:b/>
          <w:color w:val="C00000"/>
          <w:lang w:val="tr-TR"/>
        </w:rPr>
        <w:t xml:space="preserve">aracılığıyla ulaşabilirsiniz! </w:t>
      </w:r>
    </w:p>
    <w:p w:rsidR="00893B97" w:rsidRPr="00893B97" w:rsidRDefault="00893B97" w:rsidP="00561BBD">
      <w:pPr>
        <w:jc w:val="both"/>
        <w:rPr>
          <w:rStyle w:val="A9"/>
          <w:rFonts w:ascii="Calibri" w:hAnsi="Calibri"/>
          <w:lang w:val="tr-TR"/>
        </w:rPr>
      </w:pPr>
    </w:p>
    <w:p w:rsidR="001D5EA2" w:rsidRPr="00893B97" w:rsidRDefault="002D45BB" w:rsidP="00C25E6D">
      <w:pPr>
        <w:jc w:val="both"/>
        <w:rPr>
          <w:rFonts w:ascii="Calibri" w:hAnsi="Calibri" w:cstheme="majorBidi"/>
          <w:b/>
          <w:u w:val="single"/>
          <w:lang w:val="tr-TR"/>
        </w:rPr>
      </w:pPr>
      <w:r w:rsidRPr="00893B97">
        <w:rPr>
          <w:rFonts w:ascii="Calibri" w:hAnsi="Calibri"/>
          <w:b/>
          <w:u w:val="single"/>
          <w:lang w:val="tr-TR"/>
        </w:rPr>
        <w:t>Yazar hakkında</w:t>
      </w:r>
      <w:r w:rsidRPr="00893B97">
        <w:rPr>
          <w:rFonts w:ascii="Calibri" w:hAnsi="Calibri" w:cstheme="majorBidi"/>
          <w:b/>
          <w:u w:val="single"/>
          <w:lang w:val="tr-TR"/>
        </w:rPr>
        <w:t xml:space="preserve"> </w:t>
      </w:r>
      <w:r w:rsidR="001D5EA2" w:rsidRPr="00893B97">
        <w:rPr>
          <w:rFonts w:ascii="Calibri" w:hAnsi="Calibri" w:cstheme="majorBidi"/>
          <w:b/>
          <w:u w:val="single"/>
          <w:lang w:val="tr-TR"/>
        </w:rPr>
        <w:t xml:space="preserve">  </w:t>
      </w:r>
    </w:p>
    <w:p w:rsidR="00B13CD9" w:rsidRPr="00893B97" w:rsidRDefault="00187DFD" w:rsidP="00B13CD9">
      <w:pPr>
        <w:jc w:val="both"/>
        <w:rPr>
          <w:rFonts w:ascii="Calibri" w:hAnsi="Calibri" w:cstheme="majorBidi"/>
          <w:lang w:val="tr-TR"/>
        </w:rPr>
      </w:pPr>
      <w:r w:rsidRPr="00893B97">
        <w:rPr>
          <w:rFonts w:ascii="Calibri" w:hAnsi="Calibri" w:cstheme="majorBidi"/>
          <w:b/>
          <w:lang w:val="tr-TR"/>
        </w:rPr>
        <w:t xml:space="preserve">Işıl </w:t>
      </w:r>
      <w:proofErr w:type="spellStart"/>
      <w:r w:rsidRPr="00893B97">
        <w:rPr>
          <w:rFonts w:ascii="Calibri" w:hAnsi="Calibri" w:cstheme="majorBidi"/>
          <w:b/>
          <w:lang w:val="tr-TR"/>
        </w:rPr>
        <w:t>Çokuğraş</w:t>
      </w:r>
      <w:proofErr w:type="spellEnd"/>
      <w:r w:rsidRPr="00893B97">
        <w:rPr>
          <w:rFonts w:ascii="Calibri" w:hAnsi="Calibri" w:cstheme="majorBidi"/>
          <w:b/>
          <w:lang w:val="tr-TR"/>
        </w:rPr>
        <w:t xml:space="preserve">  </w:t>
      </w:r>
      <w:r w:rsidRPr="00893B97">
        <w:rPr>
          <w:rFonts w:ascii="Calibri" w:hAnsi="Calibri" w:cstheme="majorBidi"/>
          <w:lang w:val="tr-TR"/>
        </w:rPr>
        <w:t>(26 Kasım 1982, İstanbul) 2000 yılında Robert Lisesi</w:t>
      </w:r>
      <w:r w:rsidR="00ED4541" w:rsidRPr="00893B97">
        <w:rPr>
          <w:rFonts w:ascii="Calibri" w:hAnsi="Calibri" w:cstheme="majorBidi"/>
          <w:lang w:val="tr-TR"/>
        </w:rPr>
        <w:t>’</w:t>
      </w:r>
      <w:r w:rsidRPr="00893B97">
        <w:rPr>
          <w:rFonts w:ascii="Calibri" w:hAnsi="Calibri" w:cstheme="majorBidi"/>
          <w:lang w:val="tr-TR"/>
        </w:rPr>
        <w:t>nden, 2005 yılında İstanbul Teknik Üniversitesi Mimarlık Bölümü</w:t>
      </w:r>
      <w:r w:rsidR="00ED4541" w:rsidRPr="00893B97">
        <w:rPr>
          <w:rFonts w:ascii="Calibri" w:hAnsi="Calibri" w:cstheme="majorBidi"/>
          <w:lang w:val="tr-TR"/>
        </w:rPr>
        <w:t>’</w:t>
      </w:r>
      <w:r w:rsidRPr="00893B97">
        <w:rPr>
          <w:rFonts w:ascii="Calibri" w:hAnsi="Calibri" w:cstheme="majorBidi"/>
          <w:lang w:val="tr-TR"/>
        </w:rPr>
        <w:t>nden mezun oldu, 2008 yılında Mimari Tasarım Programı</w:t>
      </w:r>
      <w:r w:rsidR="00ED4541" w:rsidRPr="00893B97">
        <w:rPr>
          <w:rFonts w:ascii="Calibri" w:hAnsi="Calibri" w:cstheme="majorBidi"/>
          <w:lang w:val="tr-TR"/>
        </w:rPr>
        <w:t>’</w:t>
      </w:r>
      <w:r w:rsidRPr="00893B97">
        <w:rPr>
          <w:rFonts w:ascii="Calibri" w:hAnsi="Calibri" w:cstheme="majorBidi"/>
          <w:lang w:val="tr-TR"/>
        </w:rPr>
        <w:t xml:space="preserve">ndan yüksek lisans derecesi aldı. 2013 yılında doktora çalışmalarını tamamlayan Işıl </w:t>
      </w:r>
      <w:proofErr w:type="spellStart"/>
      <w:r w:rsidRPr="00893B97">
        <w:rPr>
          <w:rFonts w:ascii="Calibri" w:hAnsi="Calibri" w:cstheme="majorBidi"/>
          <w:lang w:val="tr-TR"/>
        </w:rPr>
        <w:t>Çokuğraş</w:t>
      </w:r>
      <w:proofErr w:type="spellEnd"/>
      <w:r w:rsidRPr="00893B97">
        <w:rPr>
          <w:rFonts w:ascii="Calibri" w:hAnsi="Calibri" w:cstheme="majorBidi"/>
          <w:lang w:val="tr-TR"/>
        </w:rPr>
        <w:t>, İstanbul Bilgi Üniversitesi</w:t>
      </w:r>
      <w:r w:rsidR="00ED4541" w:rsidRPr="00893B97">
        <w:rPr>
          <w:rFonts w:ascii="Calibri" w:hAnsi="Calibri" w:cstheme="majorBidi"/>
          <w:lang w:val="tr-TR"/>
        </w:rPr>
        <w:t>’</w:t>
      </w:r>
      <w:r w:rsidRPr="00893B97">
        <w:rPr>
          <w:rFonts w:ascii="Calibri" w:hAnsi="Calibri" w:cstheme="majorBidi"/>
          <w:lang w:val="tr-TR"/>
        </w:rPr>
        <w:t xml:space="preserve">ndeki öğretim üyeliği görevini yardımcı doçent </w:t>
      </w:r>
      <w:r w:rsidR="00C25E6D" w:rsidRPr="00893B97">
        <w:rPr>
          <w:rFonts w:ascii="Calibri" w:hAnsi="Calibri" w:cstheme="majorBidi"/>
          <w:lang w:val="tr-TR"/>
        </w:rPr>
        <w:t>u</w:t>
      </w:r>
      <w:r w:rsidRPr="00893B97">
        <w:rPr>
          <w:rFonts w:ascii="Calibri" w:hAnsi="Calibri" w:cstheme="majorBidi"/>
          <w:lang w:val="tr-TR"/>
        </w:rPr>
        <w:t>nvanı ile sürdürmektedir.</w:t>
      </w:r>
    </w:p>
    <w:p w:rsidR="00893B97" w:rsidRPr="00893B97" w:rsidRDefault="00893B97" w:rsidP="00B13CD9">
      <w:pPr>
        <w:jc w:val="both"/>
        <w:rPr>
          <w:rFonts w:ascii="Calibri" w:hAnsi="Calibri" w:cstheme="majorBidi"/>
          <w:lang w:val="tr-TR"/>
        </w:rPr>
      </w:pPr>
    </w:p>
    <w:p w:rsidR="00187DFD" w:rsidRPr="004B26C3" w:rsidRDefault="00B13CD9" w:rsidP="00B13CD9">
      <w:pPr>
        <w:jc w:val="both"/>
        <w:rPr>
          <w:rFonts w:ascii="Calibri" w:hAnsi="Calibri" w:cstheme="majorBidi"/>
          <w:sz w:val="22"/>
          <w:lang w:val="tr-TR"/>
        </w:rPr>
      </w:pPr>
      <w:r w:rsidRPr="004B26C3">
        <w:rPr>
          <w:rFonts w:ascii="Calibri" w:hAnsi="Calibri" w:cs="Arial"/>
          <w:b/>
          <w:sz w:val="22"/>
          <w:u w:val="single"/>
          <w:lang w:val="tr-TR"/>
        </w:rPr>
        <w:t>İstanbul Araştırmaları Enstitüsü</w:t>
      </w:r>
    </w:p>
    <w:p w:rsidR="00187DFD" w:rsidRPr="004B26C3" w:rsidRDefault="004B26C3" w:rsidP="00561BBD">
      <w:pPr>
        <w:pStyle w:val="NoSpacing"/>
        <w:spacing w:line="240" w:lineRule="auto"/>
        <w:ind w:right="-99"/>
        <w:rPr>
          <w:rFonts w:cs="Arial"/>
          <w:sz w:val="22"/>
          <w:szCs w:val="24"/>
        </w:rPr>
      </w:pPr>
      <w:hyperlink r:id="rId9" w:history="1">
        <w:r w:rsidR="00187DFD" w:rsidRPr="004B26C3">
          <w:rPr>
            <w:rStyle w:val="Hyperlink"/>
            <w:rFonts w:eastAsiaTheme="minorEastAsia" w:cs="Arial"/>
            <w:color w:val="auto"/>
            <w:sz w:val="22"/>
            <w:szCs w:val="24"/>
            <w:u w:val="none"/>
          </w:rPr>
          <w:t>www.iae.org.tr</w:t>
        </w:r>
      </w:hyperlink>
      <w:r w:rsidR="00187DFD" w:rsidRPr="004B26C3">
        <w:rPr>
          <w:rStyle w:val="Hyperlink"/>
          <w:rFonts w:eastAsiaTheme="minorEastAsia" w:cs="Arial"/>
          <w:color w:val="auto"/>
          <w:sz w:val="22"/>
          <w:szCs w:val="24"/>
          <w:u w:val="none"/>
        </w:rPr>
        <w:t xml:space="preserve"> </w:t>
      </w:r>
      <w:r w:rsidR="00187DFD" w:rsidRPr="004B26C3">
        <w:rPr>
          <w:rFonts w:cs="Arial"/>
          <w:sz w:val="22"/>
          <w:szCs w:val="24"/>
        </w:rPr>
        <w:t xml:space="preserve">     </w:t>
      </w:r>
    </w:p>
    <w:p w:rsidR="00187DFD" w:rsidRPr="004B26C3" w:rsidRDefault="004B26C3" w:rsidP="00561BBD">
      <w:pPr>
        <w:pStyle w:val="NoSpacing"/>
        <w:spacing w:line="240" w:lineRule="auto"/>
        <w:ind w:right="-99"/>
        <w:rPr>
          <w:rFonts w:cs="Arial"/>
          <w:sz w:val="22"/>
          <w:szCs w:val="24"/>
        </w:rPr>
      </w:pPr>
      <w:hyperlink r:id="rId10" w:history="1">
        <w:r w:rsidR="00187DFD" w:rsidRPr="004B26C3">
          <w:rPr>
            <w:rStyle w:val="Hyperlink"/>
            <w:rFonts w:eastAsiaTheme="minorEastAsia" w:cs="Arial"/>
            <w:color w:val="auto"/>
            <w:sz w:val="22"/>
            <w:szCs w:val="24"/>
            <w:u w:val="none"/>
          </w:rPr>
          <w:t>Facebook.com/</w:t>
        </w:r>
        <w:proofErr w:type="spellStart"/>
        <w:r w:rsidR="00187DFD" w:rsidRPr="004B26C3">
          <w:rPr>
            <w:rStyle w:val="Hyperlink"/>
            <w:rFonts w:eastAsiaTheme="minorEastAsia" w:cs="Arial"/>
            <w:color w:val="auto"/>
            <w:sz w:val="22"/>
            <w:szCs w:val="24"/>
            <w:u w:val="none"/>
          </w:rPr>
          <w:t>IstanbulArastirmalariEnstitusu</w:t>
        </w:r>
        <w:proofErr w:type="spellEnd"/>
      </w:hyperlink>
      <w:r w:rsidR="00187DFD" w:rsidRPr="004B26C3">
        <w:rPr>
          <w:rStyle w:val="Hyperlink"/>
          <w:rFonts w:eastAsiaTheme="minorEastAsia" w:cs="Arial"/>
          <w:color w:val="auto"/>
          <w:sz w:val="22"/>
          <w:szCs w:val="24"/>
          <w:u w:val="none"/>
        </w:rPr>
        <w:t xml:space="preserve"> </w:t>
      </w:r>
      <w:r w:rsidR="00187DFD" w:rsidRPr="004B26C3">
        <w:rPr>
          <w:rFonts w:cs="Arial"/>
          <w:sz w:val="22"/>
          <w:szCs w:val="24"/>
        </w:rPr>
        <w:t xml:space="preserve">   </w:t>
      </w:r>
    </w:p>
    <w:p w:rsidR="00187DFD" w:rsidRPr="004B26C3" w:rsidRDefault="00187DFD" w:rsidP="00561BBD">
      <w:pPr>
        <w:pStyle w:val="NoSpacing"/>
        <w:spacing w:line="240" w:lineRule="auto"/>
        <w:ind w:right="-99"/>
        <w:rPr>
          <w:rFonts w:cs="Arial"/>
          <w:sz w:val="22"/>
          <w:szCs w:val="24"/>
        </w:rPr>
      </w:pPr>
      <w:r w:rsidRPr="004B26C3">
        <w:rPr>
          <w:rFonts w:cs="Arial"/>
          <w:sz w:val="22"/>
          <w:szCs w:val="24"/>
        </w:rPr>
        <w:t>Twitter.com/</w:t>
      </w:r>
      <w:proofErr w:type="spellStart"/>
      <w:r w:rsidRPr="004B26C3">
        <w:rPr>
          <w:rFonts w:cs="Arial"/>
          <w:sz w:val="22"/>
          <w:szCs w:val="24"/>
        </w:rPr>
        <w:t>Ist_Arast_Enst</w:t>
      </w:r>
      <w:proofErr w:type="spellEnd"/>
      <w:r w:rsidRPr="004B26C3">
        <w:rPr>
          <w:rFonts w:cs="Arial"/>
          <w:sz w:val="22"/>
          <w:szCs w:val="24"/>
        </w:rPr>
        <w:t xml:space="preserve">  </w:t>
      </w:r>
    </w:p>
    <w:p w:rsidR="00187DFD" w:rsidRPr="004B26C3" w:rsidRDefault="004B26C3" w:rsidP="00561BBD">
      <w:pPr>
        <w:pStyle w:val="NoSpacing"/>
        <w:spacing w:line="240" w:lineRule="auto"/>
        <w:ind w:right="-99"/>
        <w:rPr>
          <w:rFonts w:cs="Arial"/>
          <w:sz w:val="22"/>
          <w:szCs w:val="24"/>
        </w:rPr>
      </w:pPr>
      <w:hyperlink r:id="rId11" w:history="1">
        <w:r w:rsidR="00187DFD" w:rsidRPr="004B26C3">
          <w:rPr>
            <w:rStyle w:val="Hyperlink"/>
            <w:rFonts w:eastAsiaTheme="minorEastAsia" w:cs="Arial"/>
            <w:color w:val="auto"/>
            <w:sz w:val="22"/>
            <w:szCs w:val="24"/>
            <w:u w:val="none"/>
          </w:rPr>
          <w:t>http://blog.iae.org.tr/</w:t>
        </w:r>
      </w:hyperlink>
    </w:p>
    <w:p w:rsidR="00187DFD" w:rsidRPr="00893B97" w:rsidRDefault="00187DFD" w:rsidP="00561BBD">
      <w:pPr>
        <w:pStyle w:val="NoSpacing"/>
        <w:spacing w:line="240" w:lineRule="auto"/>
        <w:ind w:right="-99"/>
        <w:rPr>
          <w:rFonts w:cs="Arial"/>
          <w:szCs w:val="24"/>
        </w:rPr>
      </w:pPr>
    </w:p>
    <w:p w:rsidR="00187DFD" w:rsidRPr="004B26C3" w:rsidRDefault="00187DFD" w:rsidP="00561BB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lang w:val="tr-TR" w:eastAsia="tr-TR"/>
        </w:rPr>
      </w:pPr>
      <w:r w:rsidRPr="004B26C3">
        <w:rPr>
          <w:rFonts w:ascii="Calibri" w:hAnsi="Calibri" w:cs="Arial"/>
          <w:b/>
          <w:sz w:val="22"/>
          <w:u w:val="single"/>
          <w:lang w:val="tr-TR"/>
        </w:rPr>
        <w:t>Detaylı Bilgi</w:t>
      </w:r>
      <w:bookmarkStart w:id="0" w:name="_GoBack"/>
      <w:bookmarkEnd w:id="0"/>
    </w:p>
    <w:p w:rsidR="00187DFD" w:rsidRPr="004B26C3" w:rsidRDefault="00187DFD" w:rsidP="00561BBD">
      <w:pPr>
        <w:pStyle w:val="NoSpacing"/>
        <w:spacing w:line="240" w:lineRule="auto"/>
        <w:rPr>
          <w:rFonts w:cs="Arial"/>
          <w:sz w:val="22"/>
          <w:szCs w:val="24"/>
        </w:rPr>
      </w:pPr>
      <w:r w:rsidRPr="004B26C3">
        <w:rPr>
          <w:rFonts w:cs="Arial"/>
          <w:sz w:val="22"/>
          <w:szCs w:val="24"/>
        </w:rPr>
        <w:t xml:space="preserve">Grup 7 İletişim Danışmanlığı – Hilal </w:t>
      </w:r>
      <w:proofErr w:type="spellStart"/>
      <w:r w:rsidRPr="004B26C3">
        <w:rPr>
          <w:rFonts w:cs="Arial"/>
          <w:sz w:val="22"/>
          <w:szCs w:val="24"/>
        </w:rPr>
        <w:t>Güntepe</w:t>
      </w:r>
      <w:proofErr w:type="spellEnd"/>
      <w:r w:rsidRPr="004B26C3">
        <w:rPr>
          <w:rFonts w:cs="Arial"/>
          <w:sz w:val="22"/>
          <w:szCs w:val="24"/>
        </w:rPr>
        <w:t xml:space="preserve"> / </w:t>
      </w:r>
      <w:hyperlink r:id="rId12" w:history="1">
        <w:r w:rsidRPr="004B26C3">
          <w:rPr>
            <w:rStyle w:val="Hyperlink"/>
            <w:rFonts w:eastAsiaTheme="minorEastAsia" w:cs="Arial"/>
            <w:color w:val="auto"/>
            <w:sz w:val="22"/>
            <w:szCs w:val="24"/>
          </w:rPr>
          <w:t>hguntepe@grup7.com.tr</w:t>
        </w:r>
      </w:hyperlink>
      <w:r w:rsidRPr="004B26C3">
        <w:rPr>
          <w:rFonts w:cs="Arial"/>
          <w:sz w:val="22"/>
          <w:szCs w:val="24"/>
        </w:rPr>
        <w:t xml:space="preserve"> / (212) 292 13 13</w:t>
      </w:r>
    </w:p>
    <w:sectPr w:rsidR="00187DFD" w:rsidRPr="004B26C3" w:rsidSect="004B26C3">
      <w:footerReference w:type="default" r:id="rId13"/>
      <w:pgSz w:w="11906" w:h="16838"/>
      <w:pgMar w:top="1440" w:right="1080" w:bottom="284" w:left="1080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D9" w:rsidRDefault="00B13CD9" w:rsidP="00B13CD9">
      <w:r>
        <w:separator/>
      </w:r>
    </w:p>
  </w:endnote>
  <w:endnote w:type="continuationSeparator" w:id="0">
    <w:p w:rsidR="00B13CD9" w:rsidRDefault="00B13CD9" w:rsidP="00B1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 Premr Pro">
    <w:altName w:val="Times New Roman"/>
    <w:panose1 w:val="00000000000000000000"/>
    <w:charset w:val="A2"/>
    <w:family w:val="roman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CD9" w:rsidRDefault="00B13CD9" w:rsidP="00B13CD9">
    <w:pPr>
      <w:pStyle w:val="Footer"/>
      <w:jc w:val="center"/>
    </w:pPr>
    <w:proofErr w:type="spellStart"/>
    <w:r w:rsidRPr="00601DE7">
      <w:rPr>
        <w:rFonts w:ascii="Arial" w:hAnsi="Arial" w:cs="Arial"/>
        <w:sz w:val="16"/>
        <w:szCs w:val="16"/>
      </w:rPr>
      <w:t>Meşrutiyet</w:t>
    </w:r>
    <w:proofErr w:type="spellEnd"/>
    <w:r w:rsidRPr="00601DE7">
      <w:rPr>
        <w:rFonts w:ascii="Arial" w:hAnsi="Arial" w:cs="Arial"/>
        <w:sz w:val="16"/>
        <w:szCs w:val="16"/>
      </w:rPr>
      <w:t xml:space="preserve"> </w:t>
    </w:r>
    <w:proofErr w:type="spellStart"/>
    <w:r w:rsidRPr="00601DE7">
      <w:rPr>
        <w:rFonts w:ascii="Arial" w:hAnsi="Arial" w:cs="Arial"/>
        <w:sz w:val="16"/>
        <w:szCs w:val="16"/>
      </w:rPr>
      <w:t>Caddesi</w:t>
    </w:r>
    <w:proofErr w:type="spellEnd"/>
    <w:r w:rsidRPr="00601DE7">
      <w:rPr>
        <w:rFonts w:ascii="Arial" w:hAnsi="Arial" w:cs="Arial"/>
        <w:sz w:val="16"/>
        <w:szCs w:val="16"/>
      </w:rPr>
      <w:t xml:space="preserve">, No: 47, </w:t>
    </w:r>
    <w:proofErr w:type="spellStart"/>
    <w:r w:rsidRPr="00601DE7">
      <w:rPr>
        <w:rFonts w:ascii="Arial" w:hAnsi="Arial" w:cs="Arial"/>
        <w:sz w:val="16"/>
        <w:szCs w:val="16"/>
      </w:rPr>
      <w:t>Tepebaşı</w:t>
    </w:r>
    <w:proofErr w:type="spellEnd"/>
    <w:r w:rsidRPr="00601DE7">
      <w:rPr>
        <w:rFonts w:ascii="Arial" w:hAnsi="Arial" w:cs="Arial"/>
        <w:sz w:val="16"/>
        <w:szCs w:val="16"/>
      </w:rPr>
      <w:t xml:space="preserve"> - </w:t>
    </w:r>
    <w:proofErr w:type="spellStart"/>
    <w:r w:rsidRPr="00601DE7">
      <w:rPr>
        <w:rFonts w:ascii="Arial" w:hAnsi="Arial" w:cs="Arial"/>
        <w:sz w:val="16"/>
        <w:szCs w:val="16"/>
      </w:rPr>
      <w:t>Beyoğlu</w:t>
    </w:r>
    <w:proofErr w:type="spellEnd"/>
    <w:r w:rsidRPr="00601DE7">
      <w:rPr>
        <w:rFonts w:ascii="Arial" w:hAnsi="Arial" w:cs="Arial"/>
        <w:sz w:val="16"/>
        <w:szCs w:val="16"/>
      </w:rPr>
      <w:t xml:space="preserve"> / İstanbul / (212) 334 09 00 / </w:t>
    </w:r>
    <w:hyperlink r:id="rId1" w:history="1">
      <w:r w:rsidRPr="00601DE7">
        <w:rPr>
          <w:rFonts w:ascii="Arial" w:hAnsi="Arial" w:cs="Arial"/>
          <w:color w:val="000000"/>
          <w:sz w:val="16"/>
          <w:szCs w:val="16"/>
        </w:rPr>
        <w:t>www.iae.org.tr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D9" w:rsidRDefault="00B13CD9" w:rsidP="00B13CD9">
      <w:r>
        <w:separator/>
      </w:r>
    </w:p>
  </w:footnote>
  <w:footnote w:type="continuationSeparator" w:id="0">
    <w:p w:rsidR="00B13CD9" w:rsidRDefault="00B13CD9" w:rsidP="00B1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FD"/>
    <w:rsid w:val="0000326E"/>
    <w:rsid w:val="00084956"/>
    <w:rsid w:val="000A7D20"/>
    <w:rsid w:val="000B4C14"/>
    <w:rsid w:val="00187DFD"/>
    <w:rsid w:val="001C6499"/>
    <w:rsid w:val="001D5EA2"/>
    <w:rsid w:val="001E51C2"/>
    <w:rsid w:val="002003C0"/>
    <w:rsid w:val="00280B75"/>
    <w:rsid w:val="00286986"/>
    <w:rsid w:val="002C04F1"/>
    <w:rsid w:val="002D45BB"/>
    <w:rsid w:val="003D3676"/>
    <w:rsid w:val="00400406"/>
    <w:rsid w:val="00435F1D"/>
    <w:rsid w:val="004B26C3"/>
    <w:rsid w:val="004C3AE9"/>
    <w:rsid w:val="004C4CDB"/>
    <w:rsid w:val="004F340E"/>
    <w:rsid w:val="004F4524"/>
    <w:rsid w:val="00513238"/>
    <w:rsid w:val="00561BBD"/>
    <w:rsid w:val="0058088D"/>
    <w:rsid w:val="005C5220"/>
    <w:rsid w:val="005D574E"/>
    <w:rsid w:val="00624BBD"/>
    <w:rsid w:val="006C7727"/>
    <w:rsid w:val="00733F43"/>
    <w:rsid w:val="008148BA"/>
    <w:rsid w:val="00893B97"/>
    <w:rsid w:val="008B3514"/>
    <w:rsid w:val="009C5BDB"/>
    <w:rsid w:val="009F5277"/>
    <w:rsid w:val="00A25F8B"/>
    <w:rsid w:val="00B13CD9"/>
    <w:rsid w:val="00B34C4A"/>
    <w:rsid w:val="00B60FA6"/>
    <w:rsid w:val="00B9287B"/>
    <w:rsid w:val="00C104F7"/>
    <w:rsid w:val="00C25E6D"/>
    <w:rsid w:val="00C94006"/>
    <w:rsid w:val="00CD15DF"/>
    <w:rsid w:val="00D73293"/>
    <w:rsid w:val="00E034C4"/>
    <w:rsid w:val="00E14AC4"/>
    <w:rsid w:val="00ED4541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C609F2-543F-4AD2-9742-88BC38AE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FD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87DFD"/>
    <w:pPr>
      <w:spacing w:after="0"/>
      <w:jc w:val="both"/>
    </w:pPr>
    <w:rPr>
      <w:rFonts w:ascii="Calibri" w:eastAsia="Times New Roman" w:hAnsi="Calibri" w:cs="Times New Roman"/>
      <w:sz w:val="24"/>
    </w:rPr>
  </w:style>
  <w:style w:type="character" w:styleId="Hyperlink">
    <w:name w:val="Hyperlink"/>
    <w:basedOn w:val="DefaultParagraphFont"/>
    <w:rsid w:val="00187D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FD"/>
    <w:rPr>
      <w:rFonts w:ascii="Tahoma" w:eastAsiaTheme="minorEastAsia" w:hAnsi="Tahoma" w:cs="Tahoma"/>
      <w:sz w:val="16"/>
      <w:szCs w:val="16"/>
      <w:lang w:val="en-US" w:eastAsia="ja-JP"/>
    </w:rPr>
  </w:style>
  <w:style w:type="paragraph" w:customStyle="1" w:styleId="Default">
    <w:name w:val="Default"/>
    <w:rsid w:val="00E034C4"/>
    <w:pPr>
      <w:autoSpaceDE w:val="0"/>
      <w:autoSpaceDN w:val="0"/>
      <w:adjustRightInd w:val="0"/>
      <w:spacing w:after="0" w:line="240" w:lineRule="auto"/>
    </w:pPr>
    <w:rPr>
      <w:rFonts w:ascii="Garamond Premr Pro" w:hAnsi="Garamond Premr Pro" w:cs="Garamond Premr Pro"/>
      <w:color w:val="000000"/>
      <w:sz w:val="24"/>
      <w:szCs w:val="24"/>
    </w:rPr>
  </w:style>
  <w:style w:type="character" w:customStyle="1" w:styleId="A1">
    <w:name w:val="A1"/>
    <w:uiPriority w:val="99"/>
    <w:rsid w:val="0000326E"/>
    <w:rPr>
      <w:rFonts w:cs="Garamond Premr Pro"/>
      <w:color w:val="000000"/>
      <w:sz w:val="28"/>
      <w:szCs w:val="28"/>
    </w:rPr>
  </w:style>
  <w:style w:type="character" w:customStyle="1" w:styleId="A9">
    <w:name w:val="A9"/>
    <w:basedOn w:val="DefaultParagraphFont"/>
    <w:uiPriority w:val="99"/>
    <w:rsid w:val="00286986"/>
    <w:rPr>
      <w:rFonts w:ascii="Garamond Premr Pro" w:hAnsi="Garamond Premr Pro" w:hint="default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13C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CD9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B13C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CD9"/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hop.peramuzesi.org.t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guntepe@grup7.com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log.iae.org.t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IstanbulArastirmalariEnstitu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ae.org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e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B249-823C-430F-A7B7-4ED581FF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Uney</dc:creator>
  <cp:lastModifiedBy>Firdevs Ev</cp:lastModifiedBy>
  <cp:revision>2</cp:revision>
  <cp:lastPrinted>2016-10-04T14:35:00Z</cp:lastPrinted>
  <dcterms:created xsi:type="dcterms:W3CDTF">2016-10-17T13:53:00Z</dcterms:created>
  <dcterms:modified xsi:type="dcterms:W3CDTF">2016-10-17T13:53:00Z</dcterms:modified>
</cp:coreProperties>
</file>