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B54F6" w14:textId="77777777" w:rsidR="002E2043" w:rsidRPr="00561C41" w:rsidRDefault="002E2043" w:rsidP="002E2043">
      <w:pPr>
        <w:spacing w:before="240" w:after="240" w:line="240" w:lineRule="auto"/>
        <w:jc w:val="both"/>
        <w:rPr>
          <w:rStyle w:val="Strong"/>
          <w:rFonts w:ascii="Raleway" w:hAnsi="Raleway" w:cs="Arial"/>
          <w:bCs w:val="0"/>
          <w:sz w:val="28"/>
          <w:szCs w:val="28"/>
        </w:rPr>
      </w:pPr>
      <w:r w:rsidRPr="00561C41">
        <w:rPr>
          <w:rStyle w:val="Strong"/>
          <w:rFonts w:ascii="Raleway" w:hAnsi="Raleway" w:cs="Arial"/>
          <w:bCs w:val="0"/>
          <w:sz w:val="28"/>
          <w:szCs w:val="28"/>
        </w:rPr>
        <w:t>Meşgul Şehir:</w:t>
      </w:r>
    </w:p>
    <w:p w14:paraId="53F73BF4"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İşgal İstanbul’unda Siyaset ve Gündelik Hayat, 1918–1923</w:t>
      </w:r>
    </w:p>
    <w:p w14:paraId="4EC3F0A2" w14:textId="77777777" w:rsidR="002E2043"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Pano Metinleri</w:t>
      </w:r>
      <w:r>
        <w:rPr>
          <w:rStyle w:val="Strong"/>
          <w:rFonts w:ascii="Raleway" w:hAnsi="Raleway" w:cs="Arial"/>
          <w:bCs w:val="0"/>
        </w:rPr>
        <w:t>nden Seçki</w:t>
      </w:r>
    </w:p>
    <w:p w14:paraId="4DF34D65" w14:textId="77777777" w:rsidR="002E2043" w:rsidRPr="00B1424A" w:rsidRDefault="002E2043" w:rsidP="002E2043">
      <w:pPr>
        <w:spacing w:before="240" w:after="240" w:line="240" w:lineRule="auto"/>
        <w:jc w:val="both"/>
        <w:rPr>
          <w:rStyle w:val="Strong"/>
          <w:rFonts w:ascii="Raleway" w:hAnsi="Raleway" w:cs="Arial"/>
          <w:bCs w:val="0"/>
        </w:rPr>
      </w:pPr>
      <w:bookmarkStart w:id="0" w:name="_GoBack"/>
      <w:bookmarkEnd w:id="0"/>
    </w:p>
    <w:p w14:paraId="09ECEDAB"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Osmanlı İmparatorluğu’nun Birinci Dünya Savaşı’ndaki yenilgisini takiben, galip İtilaf devletleri İstanbul’u işgal etti. Neredeyse beş yıl süren Britanya, Fransız ve İtalyan askeri idaresi boyunca, İstanbul’un geleceği kesin olmaktan çok uzaktı. Ne Osmanlı İmparatorluğu’nun savaşını bitiren ateşkes, ne de ateşkesi takip eden antlaşmalar, toplulukları sayısınca hak iddia edilen İstanbul’un egemenliğini garanti altına alabilirdi. Kimin kentte kalacağı ve kenti kimin yöneteceği söylenti ve spekülasyon konularıydı ve bunlar İtilaf devletleri başkanlarının, birbirini izleyen Osmanlı kabinelerinin ve Ankara Hükümeti’nin çelişen beyanlarıyla daha da şiddetleniyordu.</w:t>
      </w:r>
    </w:p>
    <w:p w14:paraId="616661A8"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İstanbul yalnız siyasal açıdan değil, toplumsal ve kültürel açılardan da sürekli bir hareketlilik halindeydi. Şehrin sakinleri, şiddeti ve işgali protesto eden kitlesel eylemlere; daha iyi ücret ve koşullara erişmek umuduyla yapılan ve tramvay, vapur ve havagazı hizmetlerini felç eden grevlere; savaş suçu işlemekle, yahut da İtilaf devletlerine veya padişaha karşı gelmekle suçlanan subay ve görevlilerin evine yapılan seher vakti baskınlarına; kahvehane müdavimlerinin silah ve yasak neşriyat nedeniyle aranma ve tutuklanmasına; İtilaf devletlerinin askerleriyle siviller arasında barlarda ve genelevlerde kopan kavgalara; silahlı çetelerce işlenen cinayetlere, linçlere ve adam kaçırmalara tanık oluyor veya katılıyordu. Bu çalkantının ortasında insanlar hayatlarını ve başkalarınınkini iyileştirmek için çabalamaya devam ediyordu. Okullar, kurumlar ve cemaat dernekleri kuruluyor; muhtelif yetenekli kişilerin ve hamilerin katkılarıyla konserler ve sergiler düzenleniyor; yeni siyasal, edebi ve sanatsal fikirler canlı basın ve yayın hayatının sayfalarını renklendiriyor; hayır kurumları mültecilere, savaş malullerine, yetimlere ve kentin yoksullarına destek olmak için para topluyordu.</w:t>
      </w:r>
    </w:p>
    <w:p w14:paraId="2FBD4E23"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Bu olguları tanımlayan ve dönemi başkalarından ayıran, işgal altındaki şehirde bir araya gelen insanların ve grupların çokluğu ve çeşitliliğiydi. İstanbul’un zaten çok kültürlü olan nüfusuna eklenenler yalnızca işgalci ülkelerle sömürgelerinden gelen askerler değildi; Balkanlar’dan, Anadolu’dan, Rusya’dan ve Ortadoğu’dan mülteciler, esirler ve işçiler de kendi topraklarında süregelen çatışmalara nispetle güvenli gördükleri Osmanlı başkentine sığınmıştı. Bu kocaman girdabın içinden yeni siyasal ve kültürel fikirler, toplumsal hassasiyetler ve pratikler ortaya çıkmış, bunlardan bazıları reddedilirken bazıları benimsenmişti.</w:t>
      </w:r>
    </w:p>
    <w:p w14:paraId="0C6B61F8"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İşgal altındaki İstanbul’a egemen olan bu çoklu otorite, etkileşim ve menfaat ağları eşsiz zenginlikte belgesel ve maddi veriler üretmiş, işgal güçlerinin, şehrin birçok sakini ve ziyaretçilerinin ayrılmasıyla bunlar dünyanın dört bir yanına dağılmıştı. Sergi, bu belge ve tanıklıklar içinden resmî belgeler, güncel basın, tablolar, filmler, şarkılar ve fotoğraflardan oluşan bir dizi yazılı ve görsel malzemeyi bir araya getiriyor. Türkiye, Fransa, Birleşik Krallık, Yunanistan, Ermenistan, Rusya ve daha başka ülkelerden toplanan bu dokümanların çoğu ilk defa sergileniyor.</w:t>
      </w:r>
    </w:p>
    <w:p w14:paraId="0E9A24FD"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 xml:space="preserve">İtilaf devletlerinin İstanbul’dan ayrılışının ve Türk ordusunun şehre girişinin yüzüncü yılı, kelimenin her anlamıyla </w:t>
      </w:r>
      <w:r w:rsidRPr="00F3107B">
        <w:rPr>
          <w:rStyle w:val="Strong"/>
          <w:rFonts w:ascii="Raleway" w:hAnsi="Raleway" w:cs="Arial"/>
          <w:b w:val="0"/>
          <w:bCs w:val="0"/>
          <w:i/>
        </w:rPr>
        <w:t>meşgul</w:t>
      </w:r>
      <w:r w:rsidRPr="00B1424A">
        <w:rPr>
          <w:rStyle w:val="Strong"/>
          <w:rFonts w:ascii="Raleway" w:hAnsi="Raleway" w:cs="Arial"/>
          <w:b w:val="0"/>
          <w:bCs w:val="0"/>
        </w:rPr>
        <w:t xml:space="preserve"> bir şehri tanımlayan ama çoğu zaman unutulmuş olan bireylere, olaylara ve hareketlere yeniden bakmak için büyük bir fırsat sunuyor.</w:t>
      </w:r>
    </w:p>
    <w:p w14:paraId="4A89B2BC"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Silahlara Veda?</w:t>
      </w:r>
    </w:p>
    <w:p w14:paraId="1F9AB250"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 xml:space="preserve">Yeni İzzet Paşa hükümetinin Osmanlı temsilcileri ve Britanyalı muhatapları tarafından Britanya savaş gemisi Agamemnon’da 30 Ekim 1918’de imzalanan Mondros Ateşkes Antlaşması yenik Osmanlı İmparatorluğu ve başkenti İstanbul’un geleceğini soru işaretlerine ve tartışmalara açık bırakmıştı. Her ne kadar antlaşmanın 1. maddesi, Çanakkale ve Boğazların açılmasını ve istihkâmların kontrolünü İtilaf devletlerine vadetmiş olsa da ateşkes metninde şehrin kendisine değinilmemişti. Ateşkesin “Müttefikler </w:t>
      </w:r>
      <w:r w:rsidRPr="00B1424A">
        <w:rPr>
          <w:rStyle w:val="Strong"/>
          <w:rFonts w:ascii="Raleway" w:hAnsi="Raleway" w:cs="Arial"/>
          <w:b w:val="0"/>
          <w:bCs w:val="0"/>
        </w:rPr>
        <w:lastRenderedPageBreak/>
        <w:t>emniyetlerini tehdit edecek vaziyet zuhurunda herhangi sevkulceyşi [stratejik] noktasını işgal hakkını haiz olacaklardır” diye belirten 7. maddesi, yoruma açıktı.</w:t>
      </w:r>
    </w:p>
    <w:p w14:paraId="0CB75CA4"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13 Kasım 1918 tarihinde birleşik Britanya–Fransız–İtalyan–Yunan filosunun kente varışından sonra, İtilaf devletleri kendi elçiliklerinin kontrolünü yeniden ele almış, kentin tersanelerinin denetimi için deniz subayları görevlendirmiş, Boğazdaki istihkamları ele geçirmeleri için birlikler göndermişti. İstanbul ve Anadolu’daki Müttefik birlikleri ateşkes koşullarını uygulamaya, özellikle de Osmanlı ordusunun dağıtılması ve silahsızlandırılması, gemilerine el konulması, Alman ve Avusturya askerlerinin ve vatandaşlarının ülke dışına çıkarılmasına girişmişlerdi. Barış koşulları hakkındaki anlaşmazlık ve Avrupa işlerine öncelik verilmesi Osmanlı İmparatorluğu’yla nihai bir barış anlaşmasının uygulanışını ertelemiş, Müttefik kuvvetlerinin Ağustos 1920’ye kadar ateşkesin muğlak koşulları altında hareket etmesine neden olmuştu.</w:t>
      </w:r>
    </w:p>
    <w:p w14:paraId="7169AE2E"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Resmen İşgal Altında</w:t>
      </w:r>
    </w:p>
    <w:p w14:paraId="7E4C1A29"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1920’nin başlarında, İtilaf devletleri Osmanlı başkentindeki konumlarından giderek daha hoşnutsuz hâle geliyordu. İlk Damat Ferit Paşa kabinesinin düşmesinden sonra, yeni kurulan Ali Rıza Paşa hükümeti, Harbiye Nezareti’nin istihbarat ve malzeme gönderdiği rapor edilen Kuvayi Milliye hareketiyle uzlaşmaya teşebbüs etti. 1919 sonlarındaki seçimler liberaller ve Hristiyan nüfusun çoğu tarafından boykot edilince, Misak-ı Milli’yi ilan edecek olan Türk milliyetçi temsilcilerin hakim olduğu bir meclis ortaya çıktı. Kendi hâkimiyetlerini yeniden sağlamlaştırmak için, Müttefik Yüksek Konseyi 1920 yılı Şubat–Mart aylarında Londra’da düzenlenen toplantılar sırasında İstanbul’u resmen işgal etmeye karar verdi. Birçok ertelemeden sonra, 16 Mart 1920’de şehrin resmi işgali başladı. Sabahın erken saatlerinde Britanya birlikleri aralarında eski Harbiye Nazırı Mersinli Cemal Paşa, eski Erkan-ı Harbiye Umumiye Reisi Cevat (Çobanlı) Paşa ve eski Bahriye Nazırı Rauf Orbay’ın da bulunduğu önde gelen subay, memur ve siyasetçileri tutuklamaları için gönderildi. En dikkat çekici olan, Şehzadebaşı’nda bulunan 10. Alay Kumandanı Kemaleddin Sami’yi (Gökçen) tutuklamak için gönderilen Britanya askerlerinin birliklerle çatışmaya girmesi ve bunun iki Britanyalı Hint askerin ve en az beş Osmanlı askerinin ölümüne neden olmasıydı. Aynı sabah ilerleyen saatlerde Müttefik gemilerinden inen deniz piyadeleri Harbiye, Bahriye, Posta ve Telgraf nezaretlerini ele geçirdi.</w:t>
      </w:r>
    </w:p>
    <w:p w14:paraId="4894960C"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İşgalin Bin Bir Yüzü</w:t>
      </w:r>
    </w:p>
    <w:p w14:paraId="074D2DA5"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Müttefik birliklerinin sayısı ve içeriği işgal süresi boyunca değişmişti. Aralık 1920 sonunda, yaklaşık 22.000 Britanya ve Fransız askeri kentin içinde ya da yakınında, 700 askerlik daha küçük bir İtalyan birliği de Üsküdar ve Kadıköy’de konuşlanmıştı. Britanya, Fransız ve İtalyan ordularında Cezayirli sipahi birliği, Senegalli ve Madagaskarlı Tirailleur piyadeleri ve Pencabi, Sikh, Garhwali ve Gurkha alayları</w:t>
      </w:r>
      <w:r>
        <w:rPr>
          <w:rStyle w:val="Strong"/>
          <w:rFonts w:ascii="Raleway" w:hAnsi="Raleway" w:cs="Arial"/>
          <w:b w:val="0"/>
          <w:bCs w:val="0"/>
        </w:rPr>
        <w:t xml:space="preserve"> </w:t>
      </w:r>
      <w:r w:rsidRPr="00B1424A">
        <w:rPr>
          <w:rStyle w:val="Strong"/>
          <w:rFonts w:ascii="Raleway" w:hAnsi="Raleway" w:cs="Arial"/>
          <w:b w:val="0"/>
          <w:bCs w:val="0"/>
        </w:rPr>
        <w:t>gibi sömürge birlikleri de bulunuyordu. Sömürge birliklerinin katılması uzun hizmet yıllarından sonra artık terhis</w:t>
      </w:r>
      <w:r>
        <w:rPr>
          <w:rStyle w:val="Strong"/>
          <w:rFonts w:ascii="Raleway" w:hAnsi="Raleway" w:cs="Arial"/>
          <w:b w:val="0"/>
          <w:bCs w:val="0"/>
        </w:rPr>
        <w:t xml:space="preserve"> </w:t>
      </w:r>
      <w:r w:rsidRPr="00B1424A">
        <w:rPr>
          <w:rStyle w:val="Strong"/>
          <w:rFonts w:ascii="Raleway" w:hAnsi="Raleway" w:cs="Arial"/>
          <w:b w:val="0"/>
          <w:bCs w:val="0"/>
        </w:rPr>
        <w:t>edilmeyi talep eden Britanya ve Fransız askerlerine olan ihtiyacı azaltmış olsa da, bu asker çeşitliliği bazı potansiyel zorlukları da gündeme getiriyordu. Britanyalı komutanlar Müslüman Hint askerlerinin İslamcı propagandadan etkilenmesinden korkuyor, bu sırada Fransız Afrikalı askerlere dair oldukça abartılı ve ırkçı suçlamalar Osmanlı vatandaşlarınca dillendiriliyordu.</w:t>
      </w:r>
    </w:p>
    <w:p w14:paraId="36DCB9E8"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Mülteciler Şehri</w:t>
      </w:r>
    </w:p>
    <w:p w14:paraId="4CD4BE24"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Mütareke dönemi boyunca on binlerce mülteci süregelen çatışma, etnik ve siyasal zulümden kaçarak İstanbul’a gelmiş ve hâlihazırda Balkan Savaşları ve Birinci Dünya Savaşı sırasında yerinden yurdundan edilmiş ve İstanbul’a sığınmış çok miktarda mülteciye katılmıştı. Amerikalı gazeteci Solita Solano, “Mülteciler Konstantinopolis’e kelimenin tam anlamıyla insan selleri halinde aktılar,” diye anlatır: “Köy nüfuslarının tamamı—Rumlar, Ermeniler, Ruslar, Yahudiler, Türkler, Gürcüler, Azerbaycanlılar—kente ceplerinde tek kuruş olmaksızın geldiğinden, sokaklarda, kamp yerlerinde, yıkık surlarda, kutulardan yapılma kulübelerde, elden çıkarılmış askeri çadırlarda yaşıyorlar.”</w:t>
      </w:r>
    </w:p>
    <w:p w14:paraId="188F4226"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 xml:space="preserve">En büyük mülteci grubunu Sovyet Devrimi ve akabindeki iç savaştan kaçanlar oluşturuyordu; bu mülteciler barakalarda, ibadet yerlerinde ve sokaklarda barınıyordu. Zaten kalabalık olan kentin üzerindeki baskıyı azaltmak için, İtilaf devletleri Rus vatandaşlarının Balkanlar, Avrupa ve Kuzey Afrika’ya </w:t>
      </w:r>
      <w:r w:rsidRPr="00B1424A">
        <w:rPr>
          <w:rStyle w:val="Strong"/>
          <w:rFonts w:ascii="Raleway" w:hAnsi="Raleway" w:cs="Arial"/>
          <w:b w:val="0"/>
          <w:bCs w:val="0"/>
        </w:rPr>
        <w:lastRenderedPageBreak/>
        <w:t>dağıtılmasını organize etti, bu sırada başkaları da artık Sovyetlere ait olan topraklara iade ediliyordu. Diğer birçokları ise ciddi hukuki engellere rağmen kendi göçlerinin devamını planlamaya çalışıyor, böylece Avrupa ve Amerika kıtasındaki diaspora topluluklarına katılıyorlardı. Milletler Cemiyeti Mülteci Yüksek Komisyonu üyesi Fridtjof Nansen 170.000 Rus, 75.000 Türk ve 155.000 Rum ve Ermeni’nin kente sığındığını bildiriyordu. Türk milli hareketi kentin kontrolünü ele geçirince ekonomik güvenliklerinden ve yaşamlarından endişe eden binlerce Rum ve Ermeni ve daha az sayıdaki Türk Müslüman yola koyulunca, işgalin sonu bir başka sürgün dalgasını daha ateşlemiş oldu.</w:t>
      </w:r>
    </w:p>
    <w:p w14:paraId="4AE961D4"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İki Yakayı Bir Araya Getir(eme)mek</w:t>
      </w:r>
    </w:p>
    <w:p w14:paraId="765ADA6E"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Birinci Dünya Savaşı’nın ve onu izleyen çatışmaların ekonomik yıkımı kent nüfusu için ciddi zorluklar yaratmıştı. Amerikan Kız Koleji Müdürü Mary Mills Patrick şöyle feryat ediyordu: “Daha önce hiç böyle bir sefalet görmedim! Sokaklarda bedenlerini örtecek giysileri olmayan kadınlar ve çocuklar vardı, üstlerindeki sefil çullar üst üste yamanmıştı.” Süregelen gıda kıtlıkları ve Almanya ve Avusturya-Macaristan’dan kömür ithalatının durması kentte ciddi tedarik sorunları yaratmış, fabrikaların ve ulaşımın durmasına, fiyatların daha da artmasına neden olmuştu. Ekonomik istikrarsızlığın ve enflasyonun sert etkileri kentin tüm sakinlerince hissediliyordu. Duyun-u Umumiye’nin sağladığı rakamlara göre, temel malların maliyeti Temmuz 1914 ve Ekim 1920 arasında yüzde 1.510 artmıştı.</w:t>
      </w:r>
    </w:p>
    <w:p w14:paraId="167A94B1"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İşgal dönemi boyunca muhtelif semtlerde çıkan bir dizi yangın binlerce kişiyi evsiz bırakmıştı. Azalan konut sayısı ve kentin yeni sakinleri ve işgalcilerin neden olduğu artan talep kiraları önemli biçimde artırınca kira sınırlamaları uygulandı. “İstanbul’da yaşamak” diyordu bir gazeteci, “New York da dahil olmak üzere dünyanın tüm kentlerinden daha maliyetli.” Hem uluslararası hem de yerel insani yardım kuruluşları ihtiyaç sahiplerine gıda, barınma, giysi, eğitim ve iş sağlamak için mücadele ediyordu. Yardım kuruluşları arasında önde gelenler Yakındoğu Amerikan Yardım Heyeti, Ermeni Yardım Heyeti, Kızılhaç ve Kızılay’dı. Yoksullara, mültecilere, yetimlere ve gazilere para toplamak için tüm kentte konserlerden sergilere, bir dizi hayır etkinliği düzenleniyordu.</w:t>
      </w:r>
    </w:p>
    <w:p w14:paraId="77A6FEF9"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Müzik Potpurisi</w:t>
      </w:r>
    </w:p>
    <w:p w14:paraId="5C908AE5"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İstanbul’un müzikal eğlence sektörü askerlerin ve aralarında birçok müzisyenin ve önemli hamilerin de bulunduğu mültecilerin gelişiyle canlanmıştı. Şişli’deki açık alanlar el konularak Osmanbey Bahçeleri olarak bilinen bir eğlence alanına çevrildi. Fransız Üçüncü Cumhuriyeti’nin 50. yılı ve Bastille Günü başkentteki Fransız etkisini ortaya koyan kamusal performanslarla kutlanıyordu. Klasik müzik İtilaf devletlerinin ve Osmanlıların hamiliğinde serpilip gelişiyordu: Osman Zeki’nin (Üngör) yönettiği Muzıka-yi Hümayûn’a, İstanbullu Konstantinos Floros yönetiminde yeni kurulan 60 kişilik Konstantinopolis Filarmoni Orkestrası katılmış, devrim Rusyası’ndan gelen Thomas de Hartmann tarafından yönetilen bir Rus Senfoni Orkestrası ve Romanyalı Nicolae Buica’nın yönettiği bir diğer senfoni orkestrası da müzik dünyasını iyice zenginleştirmişti. Bu yıllar, Darültalim-i Musiki, Darülelhan, Bahriye Musiki Mektebi ve Darülbedayi’nin müzik bölümü gibi ateşkes öncesinde kurulmuş olan okullardan müzisyenleri bir araya getiren Şark Musiki Cemiyeti’nin ortaya çıkmasıyla aynı zamanda alaturka müzik alanında da önemli gelişmelere sahne oldu.</w:t>
      </w:r>
    </w:p>
    <w:p w14:paraId="302D5786" w14:textId="77777777" w:rsidR="002E2043"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 w:val="0"/>
          <w:bCs w:val="0"/>
        </w:rPr>
        <w:t xml:space="preserve">Yeni müzik türleri, özellikle de caz, Rusya’dan gelmiş bir mülteci olan Afrikalı-Amerikalı girişimci Frederick Bruce Thomas tarafından Taksim Meydanı’nda kurulan Maxim gibi kulüplerde çalınıyordu. Maxim, Alexander Vertinsky’nin Rose Noire’ı, Valentina Piontkovskaya’nın Parisiana’sı, Yuri Morfessi’nin Strelna’sı gibi rakiplerinin yanında, operetlerin, caz müziğin, kabarelerin ve Çigan müziğinin işitildiği yeni eğlence mekânlarından biriydi. Müzik sahnesi, dönemin siyasal durumunu yansıtıyordu: İki Türk opereti İzmir’de Yunan işgaline direnci sahneye uyarlıyor, “Yahudi müziği konseri” Filistin’de bir “ulusal Yahudi </w:t>
      </w:r>
      <w:proofErr w:type="gramStart"/>
      <w:r w:rsidRPr="00B1424A">
        <w:rPr>
          <w:rStyle w:val="Strong"/>
          <w:rFonts w:ascii="Raleway" w:hAnsi="Raleway" w:cs="Arial"/>
          <w:b w:val="0"/>
          <w:bCs w:val="0"/>
        </w:rPr>
        <w:t>yuvası”nın</w:t>
      </w:r>
      <w:proofErr w:type="gramEnd"/>
      <w:r w:rsidRPr="00B1424A">
        <w:rPr>
          <w:rStyle w:val="Strong"/>
          <w:rFonts w:ascii="Raleway" w:hAnsi="Raleway" w:cs="Arial"/>
          <w:b w:val="0"/>
          <w:bCs w:val="0"/>
        </w:rPr>
        <w:t xml:space="preserve"> tanınmasını kutluyor, bu sırada Dünya İşçileri Enternasyonali Kuruçeşme kömür depolarında komünizmi yaymak için müzik geceleri düzenliyordu.</w:t>
      </w:r>
    </w:p>
    <w:p w14:paraId="56836B79" w14:textId="77777777" w:rsidR="002E2043" w:rsidRPr="00B1424A" w:rsidRDefault="002E2043" w:rsidP="002E2043">
      <w:pPr>
        <w:spacing w:before="240" w:after="240" w:line="240" w:lineRule="auto"/>
        <w:jc w:val="both"/>
        <w:rPr>
          <w:rStyle w:val="Strong"/>
          <w:rFonts w:ascii="Raleway" w:hAnsi="Raleway" w:cs="Arial"/>
          <w:bCs w:val="0"/>
        </w:rPr>
      </w:pPr>
      <w:r w:rsidRPr="00B1424A">
        <w:rPr>
          <w:rStyle w:val="Strong"/>
          <w:rFonts w:ascii="Raleway" w:hAnsi="Raleway" w:cs="Arial"/>
          <w:bCs w:val="0"/>
        </w:rPr>
        <w:t>Askerler Spor Sahasında</w:t>
      </w:r>
    </w:p>
    <w:p w14:paraId="0ABED8DA"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 xml:space="preserve">İtilaf devletleri askerleri, işgal altındaki kentte, kendi memleketlerinde sevdikleri boş zaman alışkanlıklarını ve spor etkinliklerini yeniden yaratmaya çalışmıştı. At yarışı, kriket ve polo maçları </w:t>
      </w:r>
      <w:r w:rsidRPr="00B1424A">
        <w:rPr>
          <w:rStyle w:val="Strong"/>
          <w:rFonts w:ascii="Raleway" w:hAnsi="Raleway" w:cs="Arial"/>
          <w:b w:val="0"/>
          <w:bCs w:val="0"/>
        </w:rPr>
        <w:lastRenderedPageBreak/>
        <w:t xml:space="preserve">Büyükdere’de, kalabalık izleyiciler eşliğinde düzenleniyordu. Subaylar Moda Kulübü ve Büyükada Yat Kulübü gibi kentte önceden var olan kulüpleri kullanırken, Maslak’ta bir tilki avı kulübü kurulmuştu. Taksim Kışlası Stadyumu’nda farklı askeri birimleri temsil eden takımlar arasında ve bazen de yerel kulüplere karşı maçlar düzenleniyordu. Yerel kulüpler arasında en kayda değeri, 1923 yazında karma bir Britanya askeri takımını yenerek “Harington </w:t>
      </w:r>
      <w:proofErr w:type="gramStart"/>
      <w:r w:rsidRPr="00B1424A">
        <w:rPr>
          <w:rStyle w:val="Strong"/>
          <w:rFonts w:ascii="Raleway" w:hAnsi="Raleway" w:cs="Arial"/>
          <w:b w:val="0"/>
          <w:bCs w:val="0"/>
        </w:rPr>
        <w:t>Kupası”nı</w:t>
      </w:r>
      <w:proofErr w:type="gramEnd"/>
      <w:r w:rsidRPr="00B1424A">
        <w:rPr>
          <w:rStyle w:val="Strong"/>
          <w:rFonts w:ascii="Raleway" w:hAnsi="Raleway" w:cs="Arial"/>
          <w:b w:val="0"/>
          <w:bCs w:val="0"/>
        </w:rPr>
        <w:t xml:space="preserve"> kazanan Fenerbahçe’ydi. Stadyum 1922 yılında, Yüksek Komisyon Başkanlarının himayesinde büyük bir olimpik etkinliğe ev sahipliği yapmış, Osmanlı vatandaşı ve uluslararası sporcuları bir araya getirmişti.</w:t>
      </w:r>
    </w:p>
    <w:p w14:paraId="5691D925" w14:textId="77777777" w:rsidR="002E2043" w:rsidRPr="00B1424A" w:rsidRDefault="002E2043" w:rsidP="002E2043">
      <w:pPr>
        <w:spacing w:before="240" w:after="240" w:line="240" w:lineRule="auto"/>
        <w:jc w:val="both"/>
        <w:rPr>
          <w:rStyle w:val="Strong"/>
          <w:rFonts w:ascii="Raleway" w:hAnsi="Raleway" w:cs="Arial"/>
          <w:b w:val="0"/>
          <w:bCs w:val="0"/>
        </w:rPr>
      </w:pPr>
      <w:r w:rsidRPr="00B1424A">
        <w:rPr>
          <w:rStyle w:val="Strong"/>
          <w:rFonts w:ascii="Raleway" w:hAnsi="Raleway" w:cs="Arial"/>
          <w:b w:val="0"/>
          <w:bCs w:val="0"/>
        </w:rPr>
        <w:t>Pera’da hâlihazırda bulunan Amerikan YMCA (Genç Hıristiyan Erkekler Birliği) kulübüne 1920 yılında bir Rus YMCA kulübü de katılmıştı; bunlar Kilyos ve Yeniköy’de düzenledikleri yaz kamplarında jimnastik ve başka spor etkinlikleri organize ediyordu. Kağıthane, Göksu ve Adalar piknik ve tekne gezilerine giden günübirlikçiler için popüler adreslerdi. Akşamları, askerler ve siviller gitgide artan sayıdaki sinema, restoran ve barlardan faydalanıyor, bu yıllarda kentin simgesi haline gelen genellikle gürültülü ve bazen de şiddet dolu gece hayatını denetleme çabasıyla bu işletmelerin kapanış saatleri Müttefikler-arası polis tarafından düzenleniyordu.</w:t>
      </w:r>
    </w:p>
    <w:p w14:paraId="5CF475E3" w14:textId="212B3BBD" w:rsidR="00962AEF" w:rsidRPr="0062709A" w:rsidRDefault="00962AEF" w:rsidP="002264B1">
      <w:pPr>
        <w:spacing w:after="0" w:line="240" w:lineRule="auto"/>
        <w:rPr>
          <w:rStyle w:val="Strong"/>
          <w:rFonts w:ascii="Raleway" w:hAnsi="Raleway" w:cs="Arial"/>
          <w:b w:val="0"/>
          <w:bCs w:val="0"/>
          <w:color w:val="000000" w:themeColor="text1"/>
          <w:sz w:val="24"/>
          <w:szCs w:val="24"/>
        </w:rPr>
      </w:pPr>
    </w:p>
    <w:sectPr w:rsidR="00962AEF" w:rsidRPr="0062709A" w:rsidSect="00D2536B">
      <w:headerReference w:type="default" r:id="rId8"/>
      <w:footerReference w:type="default" r:id="rId9"/>
      <w:pgSz w:w="11906" w:h="16838"/>
      <w:pgMar w:top="580" w:right="720" w:bottom="720" w:left="72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818D5" w14:textId="77777777" w:rsidR="007442FB" w:rsidRDefault="007442FB">
      <w:pPr>
        <w:spacing w:after="0" w:line="240" w:lineRule="auto"/>
      </w:pPr>
      <w:r>
        <w:separator/>
      </w:r>
    </w:p>
  </w:endnote>
  <w:endnote w:type="continuationSeparator" w:id="0">
    <w:p w14:paraId="63153F9B" w14:textId="77777777" w:rsidR="007442FB" w:rsidRDefault="00744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Raleway">
    <w:panose1 w:val="00000000000000000000"/>
    <w:charset w:val="00"/>
    <w:family w:val="auto"/>
    <w:pitch w:val="variable"/>
    <w:sig w:usb0="A00002FF" w:usb1="5000205B" w:usb2="00000000" w:usb3="00000000" w:csb0="00000197"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1DB40" w14:textId="2FCA6C09" w:rsidR="00FE0E85" w:rsidRPr="00F36016" w:rsidRDefault="0005464B" w:rsidP="0021383B">
    <w:pPr>
      <w:pStyle w:val="NoSpacing"/>
      <w:jc w:val="center"/>
      <w:rPr>
        <w:rFonts w:ascii="Arial" w:hAnsi="Arial" w:cs="Arial"/>
        <w:color w:val="808080" w:themeColor="background1" w:themeShade="80"/>
        <w:sz w:val="16"/>
        <w:szCs w:val="16"/>
      </w:rPr>
    </w:pPr>
    <w:r>
      <w:rPr>
        <w:rFonts w:ascii="Arial" w:hAnsi="Arial"/>
        <w:color w:val="808080" w:themeColor="background1" w:themeShade="80"/>
        <w:sz w:val="16"/>
      </w:rPr>
      <w:t>Meşrutiyet Caddesi No.47</w:t>
    </w:r>
    <w:r w:rsidR="00FE0E85">
      <w:rPr>
        <w:rFonts w:ascii="Arial" w:hAnsi="Arial"/>
        <w:color w:val="808080" w:themeColor="background1" w:themeShade="80"/>
        <w:sz w:val="16"/>
      </w:rPr>
      <w:t>, 344</w:t>
    </w:r>
    <w:r w:rsidR="00585A68">
      <w:rPr>
        <w:rFonts w:ascii="Arial" w:hAnsi="Arial"/>
        <w:color w:val="808080" w:themeColor="background1" w:themeShade="80"/>
        <w:sz w:val="16"/>
      </w:rPr>
      <w:t>30</w:t>
    </w:r>
    <w:r w:rsidR="00FE0E85">
      <w:rPr>
        <w:rFonts w:ascii="Arial" w:hAnsi="Arial"/>
        <w:color w:val="808080" w:themeColor="background1" w:themeShade="80"/>
        <w:sz w:val="16"/>
      </w:rPr>
      <w:t xml:space="preserve"> Tepebaşı - Beyoğl</w:t>
    </w:r>
    <w:r w:rsidR="00511411">
      <w:rPr>
        <w:rFonts w:ascii="Arial" w:hAnsi="Arial"/>
        <w:color w:val="808080" w:themeColor="background1" w:themeShade="80"/>
        <w:sz w:val="16"/>
      </w:rPr>
      <w:t>u – İstanbul Tel. + 90 212 334 09 00, bilgi</w:t>
    </w:r>
    <w:r w:rsidR="00FE0E85">
      <w:rPr>
        <w:rFonts w:ascii="Arial" w:hAnsi="Arial"/>
        <w:color w:val="808080" w:themeColor="background1" w:themeShade="80"/>
        <w:sz w:val="16"/>
      </w:rPr>
      <w:t>@</w:t>
    </w:r>
    <w:r w:rsidR="00511411">
      <w:rPr>
        <w:rFonts w:ascii="Arial" w:hAnsi="Arial"/>
        <w:color w:val="808080" w:themeColor="background1" w:themeShade="80"/>
        <w:sz w:val="16"/>
      </w:rPr>
      <w:t>iae</w:t>
    </w:r>
    <w:r w:rsidR="00FE0E85">
      <w:rPr>
        <w:rFonts w:ascii="Arial" w:hAnsi="Arial"/>
        <w:color w:val="808080" w:themeColor="background1" w:themeShade="80"/>
        <w:sz w:val="16"/>
      </w:rPr>
      <w:t>.org.tr</w:t>
    </w:r>
  </w:p>
  <w:p w14:paraId="02B4F6BA" w14:textId="77777777" w:rsidR="00FE0E85" w:rsidRPr="00F36016" w:rsidRDefault="00FE0E85" w:rsidP="0021383B">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CC5EA" w14:textId="77777777" w:rsidR="007442FB" w:rsidRDefault="007442FB">
      <w:pPr>
        <w:spacing w:after="0" w:line="240" w:lineRule="auto"/>
      </w:pPr>
      <w:r>
        <w:separator/>
      </w:r>
    </w:p>
  </w:footnote>
  <w:footnote w:type="continuationSeparator" w:id="0">
    <w:p w14:paraId="723EEA9A" w14:textId="77777777" w:rsidR="007442FB" w:rsidRDefault="007442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1F3A" w14:textId="061CA228" w:rsidR="00FE0E85" w:rsidRDefault="002E2043" w:rsidP="0021383B">
    <w:pPr>
      <w:pStyle w:val="Header"/>
      <w:jc w:val="center"/>
    </w:pPr>
    <w:r>
      <w:rPr>
        <w:noProof/>
      </w:rPr>
      <w:drawing>
        <wp:anchor distT="0" distB="0" distL="114300" distR="114300" simplePos="0" relativeHeight="251658240" behindDoc="0" locked="0" layoutInCell="1" allowOverlap="1" wp14:anchorId="4FC140FC" wp14:editId="3EE7B539">
          <wp:simplePos x="0" y="0"/>
          <wp:positionH relativeFrom="column">
            <wp:posOffset>1552575</wp:posOffset>
          </wp:positionH>
          <wp:positionV relativeFrom="paragraph">
            <wp:posOffset>-1905</wp:posOffset>
          </wp:positionV>
          <wp:extent cx="3533775" cy="504825"/>
          <wp:effectExtent l="0" t="0" r="9525" b="9525"/>
          <wp:wrapTopAndBottom/>
          <wp:docPr id="2" name="Picture 2" descr="C:\Users\dpince\AppData\Local\Microsoft\Windows\INetCache\Content.Word\Enstitusu_Horizontal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pince\AppData\Local\Microsoft\Windows\INetCache\Content.Word\Enstitusu_Horizontal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533775" cy="50482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5972EF"/>
    <w:multiLevelType w:val="hybridMultilevel"/>
    <w:tmpl w:val="CAA016C0"/>
    <w:lvl w:ilvl="0" w:tplc="C3A40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DB5D5A"/>
    <w:multiLevelType w:val="hybridMultilevel"/>
    <w:tmpl w:val="0CE61B48"/>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BDF"/>
    <w:rsid w:val="000029D5"/>
    <w:rsid w:val="00006D27"/>
    <w:rsid w:val="00007717"/>
    <w:rsid w:val="00024C21"/>
    <w:rsid w:val="00026DB7"/>
    <w:rsid w:val="00033598"/>
    <w:rsid w:val="000347A3"/>
    <w:rsid w:val="00036918"/>
    <w:rsid w:val="00042F0C"/>
    <w:rsid w:val="0005464B"/>
    <w:rsid w:val="000673BB"/>
    <w:rsid w:val="00097E3D"/>
    <w:rsid w:val="00097F3D"/>
    <w:rsid w:val="000B3555"/>
    <w:rsid w:val="000B7E42"/>
    <w:rsid w:val="000C302A"/>
    <w:rsid w:val="000C751E"/>
    <w:rsid w:val="000E149C"/>
    <w:rsid w:val="000E2BE8"/>
    <w:rsid w:val="000F17D8"/>
    <w:rsid w:val="000F1FBC"/>
    <w:rsid w:val="000F2B38"/>
    <w:rsid w:val="000F7A72"/>
    <w:rsid w:val="00110EC8"/>
    <w:rsid w:val="00112C52"/>
    <w:rsid w:val="00113A4B"/>
    <w:rsid w:val="00114757"/>
    <w:rsid w:val="001345D7"/>
    <w:rsid w:val="001538B7"/>
    <w:rsid w:val="00161C90"/>
    <w:rsid w:val="001715AE"/>
    <w:rsid w:val="00180349"/>
    <w:rsid w:val="001804B1"/>
    <w:rsid w:val="001900DC"/>
    <w:rsid w:val="0019071B"/>
    <w:rsid w:val="001A1934"/>
    <w:rsid w:val="001B6E37"/>
    <w:rsid w:val="001E7476"/>
    <w:rsid w:val="001F3EDB"/>
    <w:rsid w:val="001F6A0E"/>
    <w:rsid w:val="00206C78"/>
    <w:rsid w:val="00213553"/>
    <w:rsid w:val="0021383B"/>
    <w:rsid w:val="00213FEC"/>
    <w:rsid w:val="0022282F"/>
    <w:rsid w:val="002264B1"/>
    <w:rsid w:val="00231B88"/>
    <w:rsid w:val="00251A1F"/>
    <w:rsid w:val="0026584D"/>
    <w:rsid w:val="002677D7"/>
    <w:rsid w:val="002778C2"/>
    <w:rsid w:val="00280CED"/>
    <w:rsid w:val="00291DBD"/>
    <w:rsid w:val="002940A6"/>
    <w:rsid w:val="00297504"/>
    <w:rsid w:val="002A0B9F"/>
    <w:rsid w:val="002B0BFA"/>
    <w:rsid w:val="002D1945"/>
    <w:rsid w:val="002D41CD"/>
    <w:rsid w:val="002D7C96"/>
    <w:rsid w:val="002E155D"/>
    <w:rsid w:val="002E2043"/>
    <w:rsid w:val="002E3CF4"/>
    <w:rsid w:val="002E6985"/>
    <w:rsid w:val="002F3299"/>
    <w:rsid w:val="002F5CBA"/>
    <w:rsid w:val="00316218"/>
    <w:rsid w:val="003344D8"/>
    <w:rsid w:val="00351906"/>
    <w:rsid w:val="00375436"/>
    <w:rsid w:val="00382B1C"/>
    <w:rsid w:val="00383FCA"/>
    <w:rsid w:val="00386782"/>
    <w:rsid w:val="003870D2"/>
    <w:rsid w:val="003A5154"/>
    <w:rsid w:val="003C77F9"/>
    <w:rsid w:val="003D32A9"/>
    <w:rsid w:val="003D6E81"/>
    <w:rsid w:val="003F0A2B"/>
    <w:rsid w:val="003F34E4"/>
    <w:rsid w:val="003F3EC7"/>
    <w:rsid w:val="00404F75"/>
    <w:rsid w:val="00411200"/>
    <w:rsid w:val="00424C60"/>
    <w:rsid w:val="00426F8D"/>
    <w:rsid w:val="00454A8A"/>
    <w:rsid w:val="004563BE"/>
    <w:rsid w:val="004660AA"/>
    <w:rsid w:val="004662A3"/>
    <w:rsid w:val="00466F09"/>
    <w:rsid w:val="00475530"/>
    <w:rsid w:val="004837C6"/>
    <w:rsid w:val="00486F04"/>
    <w:rsid w:val="004C3705"/>
    <w:rsid w:val="004C4F7C"/>
    <w:rsid w:val="004E70B9"/>
    <w:rsid w:val="00511411"/>
    <w:rsid w:val="00527B1C"/>
    <w:rsid w:val="00547B69"/>
    <w:rsid w:val="0055768F"/>
    <w:rsid w:val="00585A68"/>
    <w:rsid w:val="00591BA2"/>
    <w:rsid w:val="00596488"/>
    <w:rsid w:val="005A1DAC"/>
    <w:rsid w:val="005B3E48"/>
    <w:rsid w:val="005C280F"/>
    <w:rsid w:val="005E05DB"/>
    <w:rsid w:val="005E7EE1"/>
    <w:rsid w:val="005F3620"/>
    <w:rsid w:val="00602F44"/>
    <w:rsid w:val="00604DB0"/>
    <w:rsid w:val="00611096"/>
    <w:rsid w:val="006156DB"/>
    <w:rsid w:val="00625B84"/>
    <w:rsid w:val="0062709A"/>
    <w:rsid w:val="0063436B"/>
    <w:rsid w:val="006356DE"/>
    <w:rsid w:val="00644BB7"/>
    <w:rsid w:val="0065168F"/>
    <w:rsid w:val="00653C70"/>
    <w:rsid w:val="00663FEC"/>
    <w:rsid w:val="0067675C"/>
    <w:rsid w:val="00682C93"/>
    <w:rsid w:val="0068735D"/>
    <w:rsid w:val="006A128E"/>
    <w:rsid w:val="006B2D36"/>
    <w:rsid w:val="006B7C63"/>
    <w:rsid w:val="006D1A6B"/>
    <w:rsid w:val="006D7D76"/>
    <w:rsid w:val="006E72EC"/>
    <w:rsid w:val="006F323A"/>
    <w:rsid w:val="006F4039"/>
    <w:rsid w:val="007044E1"/>
    <w:rsid w:val="00707FE2"/>
    <w:rsid w:val="00712B59"/>
    <w:rsid w:val="00727785"/>
    <w:rsid w:val="0073322B"/>
    <w:rsid w:val="007442FB"/>
    <w:rsid w:val="00745C5D"/>
    <w:rsid w:val="00777621"/>
    <w:rsid w:val="00780E78"/>
    <w:rsid w:val="007857EC"/>
    <w:rsid w:val="007C5604"/>
    <w:rsid w:val="007C60D9"/>
    <w:rsid w:val="007D2627"/>
    <w:rsid w:val="007E176C"/>
    <w:rsid w:val="007F6FE5"/>
    <w:rsid w:val="00804AB8"/>
    <w:rsid w:val="00817420"/>
    <w:rsid w:val="00823201"/>
    <w:rsid w:val="00823533"/>
    <w:rsid w:val="0083233C"/>
    <w:rsid w:val="008404A2"/>
    <w:rsid w:val="00841ABE"/>
    <w:rsid w:val="008455C9"/>
    <w:rsid w:val="00845C7A"/>
    <w:rsid w:val="00861336"/>
    <w:rsid w:val="0086650E"/>
    <w:rsid w:val="00867BC2"/>
    <w:rsid w:val="00890A11"/>
    <w:rsid w:val="00896890"/>
    <w:rsid w:val="008A1BDF"/>
    <w:rsid w:val="008A3D24"/>
    <w:rsid w:val="008B76ED"/>
    <w:rsid w:val="008B7967"/>
    <w:rsid w:val="008B7C50"/>
    <w:rsid w:val="008C3036"/>
    <w:rsid w:val="008C3DC6"/>
    <w:rsid w:val="008C54C0"/>
    <w:rsid w:val="008E30A2"/>
    <w:rsid w:val="008E593B"/>
    <w:rsid w:val="008F0908"/>
    <w:rsid w:val="008F7CE6"/>
    <w:rsid w:val="00912D07"/>
    <w:rsid w:val="009144B9"/>
    <w:rsid w:val="00954964"/>
    <w:rsid w:val="00962AEF"/>
    <w:rsid w:val="009728E1"/>
    <w:rsid w:val="009830AC"/>
    <w:rsid w:val="00986A0D"/>
    <w:rsid w:val="00997767"/>
    <w:rsid w:val="00997A55"/>
    <w:rsid w:val="009A1DD1"/>
    <w:rsid w:val="009A44AA"/>
    <w:rsid w:val="009B013E"/>
    <w:rsid w:val="009C095C"/>
    <w:rsid w:val="009C6BA0"/>
    <w:rsid w:val="009F6E99"/>
    <w:rsid w:val="00A147AA"/>
    <w:rsid w:val="00A23EB3"/>
    <w:rsid w:val="00A33D73"/>
    <w:rsid w:val="00A345A0"/>
    <w:rsid w:val="00A36403"/>
    <w:rsid w:val="00A43045"/>
    <w:rsid w:val="00A610A5"/>
    <w:rsid w:val="00A66755"/>
    <w:rsid w:val="00A9023F"/>
    <w:rsid w:val="00A90F18"/>
    <w:rsid w:val="00A913C8"/>
    <w:rsid w:val="00A94F4F"/>
    <w:rsid w:val="00A979C3"/>
    <w:rsid w:val="00AA4E04"/>
    <w:rsid w:val="00AA6CF1"/>
    <w:rsid w:val="00AA7054"/>
    <w:rsid w:val="00AB0486"/>
    <w:rsid w:val="00AB0907"/>
    <w:rsid w:val="00AB6FDF"/>
    <w:rsid w:val="00AB70D6"/>
    <w:rsid w:val="00AC1BBE"/>
    <w:rsid w:val="00AD0060"/>
    <w:rsid w:val="00AD53B2"/>
    <w:rsid w:val="00AE17D6"/>
    <w:rsid w:val="00AF1A75"/>
    <w:rsid w:val="00AF3F23"/>
    <w:rsid w:val="00B065FD"/>
    <w:rsid w:val="00B125FD"/>
    <w:rsid w:val="00B4306D"/>
    <w:rsid w:val="00B447BF"/>
    <w:rsid w:val="00B469F8"/>
    <w:rsid w:val="00B473AE"/>
    <w:rsid w:val="00B52F5D"/>
    <w:rsid w:val="00B6118F"/>
    <w:rsid w:val="00B62EDE"/>
    <w:rsid w:val="00B637C0"/>
    <w:rsid w:val="00B71572"/>
    <w:rsid w:val="00B719AB"/>
    <w:rsid w:val="00B810E7"/>
    <w:rsid w:val="00BB09DE"/>
    <w:rsid w:val="00BC01E9"/>
    <w:rsid w:val="00BC0EC1"/>
    <w:rsid w:val="00BC37CC"/>
    <w:rsid w:val="00BD01CF"/>
    <w:rsid w:val="00BD42DF"/>
    <w:rsid w:val="00BD561E"/>
    <w:rsid w:val="00BD56D7"/>
    <w:rsid w:val="00BE3FEB"/>
    <w:rsid w:val="00BF3E82"/>
    <w:rsid w:val="00BF5C99"/>
    <w:rsid w:val="00C11B0E"/>
    <w:rsid w:val="00C2349F"/>
    <w:rsid w:val="00C30420"/>
    <w:rsid w:val="00C36FCA"/>
    <w:rsid w:val="00C41983"/>
    <w:rsid w:val="00C42BD9"/>
    <w:rsid w:val="00C54B7D"/>
    <w:rsid w:val="00C62E84"/>
    <w:rsid w:val="00C67684"/>
    <w:rsid w:val="00CA4FFA"/>
    <w:rsid w:val="00CB16A5"/>
    <w:rsid w:val="00CB4570"/>
    <w:rsid w:val="00CB7453"/>
    <w:rsid w:val="00CC209A"/>
    <w:rsid w:val="00CD096B"/>
    <w:rsid w:val="00CD4D40"/>
    <w:rsid w:val="00CE4953"/>
    <w:rsid w:val="00D13462"/>
    <w:rsid w:val="00D2536B"/>
    <w:rsid w:val="00D26804"/>
    <w:rsid w:val="00D35BF1"/>
    <w:rsid w:val="00D44AED"/>
    <w:rsid w:val="00D52FD3"/>
    <w:rsid w:val="00D558DB"/>
    <w:rsid w:val="00D607DB"/>
    <w:rsid w:val="00D613C8"/>
    <w:rsid w:val="00D638FB"/>
    <w:rsid w:val="00D64923"/>
    <w:rsid w:val="00D678AB"/>
    <w:rsid w:val="00D7167F"/>
    <w:rsid w:val="00DA11DC"/>
    <w:rsid w:val="00DA153F"/>
    <w:rsid w:val="00DA2BED"/>
    <w:rsid w:val="00DA4281"/>
    <w:rsid w:val="00DB5DAF"/>
    <w:rsid w:val="00DC22E2"/>
    <w:rsid w:val="00DC48F2"/>
    <w:rsid w:val="00DD0842"/>
    <w:rsid w:val="00DE7B3B"/>
    <w:rsid w:val="00E15F7E"/>
    <w:rsid w:val="00E209B7"/>
    <w:rsid w:val="00E25A33"/>
    <w:rsid w:val="00E3160F"/>
    <w:rsid w:val="00E3685D"/>
    <w:rsid w:val="00E40AF5"/>
    <w:rsid w:val="00E46E9F"/>
    <w:rsid w:val="00E54961"/>
    <w:rsid w:val="00E674FA"/>
    <w:rsid w:val="00E877EA"/>
    <w:rsid w:val="00E968AF"/>
    <w:rsid w:val="00EB4AAF"/>
    <w:rsid w:val="00EC289D"/>
    <w:rsid w:val="00EE1270"/>
    <w:rsid w:val="00EF4ADF"/>
    <w:rsid w:val="00F01B04"/>
    <w:rsid w:val="00F11A9A"/>
    <w:rsid w:val="00F130A0"/>
    <w:rsid w:val="00F15F7A"/>
    <w:rsid w:val="00F248B1"/>
    <w:rsid w:val="00F273F4"/>
    <w:rsid w:val="00F447B1"/>
    <w:rsid w:val="00F47FF2"/>
    <w:rsid w:val="00F55157"/>
    <w:rsid w:val="00F66DF0"/>
    <w:rsid w:val="00F868BC"/>
    <w:rsid w:val="00F93C73"/>
    <w:rsid w:val="00FB0976"/>
    <w:rsid w:val="00FC22AE"/>
    <w:rsid w:val="00FD0D7F"/>
    <w:rsid w:val="00FD409E"/>
    <w:rsid w:val="00FE0E85"/>
    <w:rsid w:val="00FF2750"/>
    <w:rsid w:val="00FF454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A952"/>
  <w15:docId w15:val="{C0102ADD-98BC-4249-82FF-12F7F8A73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043"/>
  </w:style>
  <w:style w:type="paragraph" w:styleId="Heading2">
    <w:name w:val="heading 2"/>
    <w:basedOn w:val="Normal"/>
    <w:link w:val="Heading2Char"/>
    <w:uiPriority w:val="9"/>
    <w:unhideWhenUsed/>
    <w:qFormat/>
    <w:rsid w:val="00280CED"/>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6755"/>
    <w:pPr>
      <w:tabs>
        <w:tab w:val="center" w:pos="4536"/>
        <w:tab w:val="right" w:pos="9072"/>
      </w:tabs>
      <w:spacing w:after="0" w:line="240" w:lineRule="auto"/>
    </w:pPr>
  </w:style>
  <w:style w:type="character" w:customStyle="1" w:styleId="HeaderChar">
    <w:name w:val="Header Char"/>
    <w:basedOn w:val="DefaultParagraphFont"/>
    <w:link w:val="Header"/>
    <w:uiPriority w:val="99"/>
    <w:rsid w:val="00A66755"/>
  </w:style>
  <w:style w:type="paragraph" w:styleId="Footer">
    <w:name w:val="footer"/>
    <w:basedOn w:val="Normal"/>
    <w:link w:val="FooterChar"/>
    <w:uiPriority w:val="99"/>
    <w:unhideWhenUsed/>
    <w:rsid w:val="00A66755"/>
    <w:pPr>
      <w:tabs>
        <w:tab w:val="center" w:pos="4536"/>
        <w:tab w:val="right" w:pos="9072"/>
      </w:tabs>
      <w:spacing w:after="0" w:line="240" w:lineRule="auto"/>
    </w:pPr>
  </w:style>
  <w:style w:type="character" w:customStyle="1" w:styleId="FooterChar">
    <w:name w:val="Footer Char"/>
    <w:basedOn w:val="DefaultParagraphFont"/>
    <w:link w:val="Footer"/>
    <w:uiPriority w:val="99"/>
    <w:rsid w:val="00A66755"/>
  </w:style>
  <w:style w:type="paragraph" w:styleId="NoSpacing">
    <w:name w:val="No Spacing"/>
    <w:uiPriority w:val="1"/>
    <w:qFormat/>
    <w:rsid w:val="00A66755"/>
    <w:pPr>
      <w:spacing w:after="0" w:line="240" w:lineRule="auto"/>
    </w:pPr>
    <w:rPr>
      <w:rFonts w:ascii="Calibri" w:eastAsia="Times New Roman" w:hAnsi="Calibri" w:cs="Times New Roman"/>
    </w:rPr>
  </w:style>
  <w:style w:type="character" w:styleId="Hyperlink">
    <w:name w:val="Hyperlink"/>
    <w:basedOn w:val="DefaultParagraphFont"/>
    <w:uiPriority w:val="99"/>
    <w:unhideWhenUsed/>
    <w:rsid w:val="00A66755"/>
    <w:rPr>
      <w:color w:val="0563C1" w:themeColor="hyperlink"/>
      <w:u w:val="single"/>
    </w:rPr>
  </w:style>
  <w:style w:type="paragraph" w:styleId="NormalWeb">
    <w:name w:val="Normal (Web)"/>
    <w:basedOn w:val="Normal"/>
    <w:uiPriority w:val="99"/>
    <w:unhideWhenUsed/>
    <w:rsid w:val="00A6675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22"/>
    <w:qFormat/>
    <w:rsid w:val="00A66755"/>
    <w:rPr>
      <w:b/>
      <w:bCs/>
    </w:rPr>
  </w:style>
  <w:style w:type="character" w:customStyle="1" w:styleId="apple-converted-space">
    <w:name w:val="apple-converted-space"/>
    <w:basedOn w:val="DefaultParagraphFont"/>
    <w:rsid w:val="00A66755"/>
  </w:style>
  <w:style w:type="paragraph" w:customStyle="1" w:styleId="Standard">
    <w:name w:val="Standard"/>
    <w:rsid w:val="002D7C96"/>
    <w:pPr>
      <w:suppressAutoHyphens/>
      <w:autoSpaceDN w:val="0"/>
      <w:spacing w:after="0" w:line="240" w:lineRule="auto"/>
    </w:pPr>
    <w:rPr>
      <w:rFonts w:ascii="Times New Roman" w:eastAsia="Times New Roman" w:hAnsi="Times New Roman" w:cs="Times New Roman"/>
      <w:kern w:val="3"/>
      <w:sz w:val="20"/>
      <w:szCs w:val="20"/>
      <w:lang w:eastAsia="tr-TR"/>
    </w:rPr>
  </w:style>
  <w:style w:type="paragraph" w:customStyle="1" w:styleId="Default">
    <w:name w:val="Default"/>
    <w:basedOn w:val="Normal"/>
    <w:rsid w:val="002D7C96"/>
    <w:pPr>
      <w:autoSpaceDE w:val="0"/>
      <w:autoSpaceDN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2E3CF4"/>
    <w:rPr>
      <w:i/>
      <w:iCs/>
    </w:rPr>
  </w:style>
  <w:style w:type="character" w:styleId="CommentReference">
    <w:name w:val="annotation reference"/>
    <w:basedOn w:val="DefaultParagraphFont"/>
    <w:uiPriority w:val="99"/>
    <w:semiHidden/>
    <w:unhideWhenUsed/>
    <w:rsid w:val="006F4039"/>
    <w:rPr>
      <w:sz w:val="16"/>
      <w:szCs w:val="16"/>
    </w:rPr>
  </w:style>
  <w:style w:type="paragraph" w:styleId="CommentText">
    <w:name w:val="annotation text"/>
    <w:basedOn w:val="Normal"/>
    <w:link w:val="CommentTextChar"/>
    <w:uiPriority w:val="99"/>
    <w:semiHidden/>
    <w:unhideWhenUsed/>
    <w:rsid w:val="006F4039"/>
    <w:pPr>
      <w:spacing w:line="240" w:lineRule="auto"/>
    </w:pPr>
    <w:rPr>
      <w:sz w:val="20"/>
      <w:szCs w:val="20"/>
    </w:rPr>
  </w:style>
  <w:style w:type="character" w:customStyle="1" w:styleId="CommentTextChar">
    <w:name w:val="Comment Text Char"/>
    <w:basedOn w:val="DefaultParagraphFont"/>
    <w:link w:val="CommentText"/>
    <w:uiPriority w:val="99"/>
    <w:semiHidden/>
    <w:rsid w:val="006F4039"/>
    <w:rPr>
      <w:sz w:val="20"/>
      <w:szCs w:val="20"/>
    </w:rPr>
  </w:style>
  <w:style w:type="paragraph" w:styleId="CommentSubject">
    <w:name w:val="annotation subject"/>
    <w:basedOn w:val="CommentText"/>
    <w:next w:val="CommentText"/>
    <w:link w:val="CommentSubjectChar"/>
    <w:uiPriority w:val="99"/>
    <w:semiHidden/>
    <w:unhideWhenUsed/>
    <w:rsid w:val="006F4039"/>
    <w:rPr>
      <w:b/>
      <w:bCs/>
    </w:rPr>
  </w:style>
  <w:style w:type="character" w:customStyle="1" w:styleId="CommentSubjectChar">
    <w:name w:val="Comment Subject Char"/>
    <w:basedOn w:val="CommentTextChar"/>
    <w:link w:val="CommentSubject"/>
    <w:uiPriority w:val="99"/>
    <w:semiHidden/>
    <w:rsid w:val="006F4039"/>
    <w:rPr>
      <w:b/>
      <w:bCs/>
      <w:sz w:val="20"/>
      <w:szCs w:val="20"/>
    </w:rPr>
  </w:style>
  <w:style w:type="paragraph" w:styleId="BalloonText">
    <w:name w:val="Balloon Text"/>
    <w:basedOn w:val="Normal"/>
    <w:link w:val="BalloonTextChar"/>
    <w:uiPriority w:val="99"/>
    <w:semiHidden/>
    <w:unhideWhenUsed/>
    <w:rsid w:val="006F40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039"/>
    <w:rPr>
      <w:rFonts w:ascii="Segoe UI" w:hAnsi="Segoe UI" w:cs="Segoe UI"/>
      <w:sz w:val="18"/>
      <w:szCs w:val="18"/>
    </w:rPr>
  </w:style>
  <w:style w:type="paragraph" w:styleId="ListParagraph">
    <w:name w:val="List Paragraph"/>
    <w:basedOn w:val="Normal"/>
    <w:uiPriority w:val="34"/>
    <w:qFormat/>
    <w:rsid w:val="006E72EC"/>
    <w:pPr>
      <w:spacing w:after="0" w:line="240" w:lineRule="auto"/>
      <w:ind w:left="720"/>
      <w:contextualSpacing/>
    </w:pPr>
    <w:rPr>
      <w:rFonts w:ascii="Times New Roman" w:hAnsi="Times New Roman" w:cs="Times New Roman"/>
      <w:sz w:val="20"/>
      <w:szCs w:val="20"/>
    </w:rPr>
  </w:style>
  <w:style w:type="character" w:customStyle="1" w:styleId="Heading2Char">
    <w:name w:val="Heading 2 Char"/>
    <w:basedOn w:val="DefaultParagraphFont"/>
    <w:link w:val="Heading2"/>
    <w:uiPriority w:val="9"/>
    <w:rsid w:val="00280CED"/>
    <w:rPr>
      <w:rFonts w:ascii="Times New Roman" w:eastAsia="Times New Roman" w:hAnsi="Times New Roman" w:cs="Times New Roman"/>
      <w:b/>
      <w:bCs/>
      <w:sz w:val="36"/>
      <w:szCs w:val="36"/>
      <w:lang w:eastAsia="tr-TR"/>
    </w:rPr>
  </w:style>
  <w:style w:type="paragraph" w:styleId="Revision">
    <w:name w:val="Revision"/>
    <w:hidden/>
    <w:uiPriority w:val="99"/>
    <w:semiHidden/>
    <w:rsid w:val="009728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73642">
      <w:bodyDiv w:val="1"/>
      <w:marLeft w:val="0"/>
      <w:marRight w:val="0"/>
      <w:marTop w:val="0"/>
      <w:marBottom w:val="0"/>
      <w:divBdr>
        <w:top w:val="none" w:sz="0" w:space="0" w:color="auto"/>
        <w:left w:val="none" w:sz="0" w:space="0" w:color="auto"/>
        <w:bottom w:val="none" w:sz="0" w:space="0" w:color="auto"/>
        <w:right w:val="none" w:sz="0" w:space="0" w:color="auto"/>
      </w:divBdr>
    </w:div>
    <w:div w:id="74207872">
      <w:bodyDiv w:val="1"/>
      <w:marLeft w:val="0"/>
      <w:marRight w:val="0"/>
      <w:marTop w:val="0"/>
      <w:marBottom w:val="0"/>
      <w:divBdr>
        <w:top w:val="none" w:sz="0" w:space="0" w:color="auto"/>
        <w:left w:val="none" w:sz="0" w:space="0" w:color="auto"/>
        <w:bottom w:val="none" w:sz="0" w:space="0" w:color="auto"/>
        <w:right w:val="none" w:sz="0" w:space="0" w:color="auto"/>
      </w:divBdr>
    </w:div>
    <w:div w:id="587885851">
      <w:bodyDiv w:val="1"/>
      <w:marLeft w:val="0"/>
      <w:marRight w:val="0"/>
      <w:marTop w:val="0"/>
      <w:marBottom w:val="0"/>
      <w:divBdr>
        <w:top w:val="none" w:sz="0" w:space="0" w:color="auto"/>
        <w:left w:val="none" w:sz="0" w:space="0" w:color="auto"/>
        <w:bottom w:val="none" w:sz="0" w:space="0" w:color="auto"/>
        <w:right w:val="none" w:sz="0" w:space="0" w:color="auto"/>
      </w:divBdr>
    </w:div>
    <w:div w:id="598611393">
      <w:bodyDiv w:val="1"/>
      <w:marLeft w:val="0"/>
      <w:marRight w:val="0"/>
      <w:marTop w:val="0"/>
      <w:marBottom w:val="0"/>
      <w:divBdr>
        <w:top w:val="none" w:sz="0" w:space="0" w:color="auto"/>
        <w:left w:val="none" w:sz="0" w:space="0" w:color="auto"/>
        <w:bottom w:val="none" w:sz="0" w:space="0" w:color="auto"/>
        <w:right w:val="none" w:sz="0" w:space="0" w:color="auto"/>
      </w:divBdr>
    </w:div>
    <w:div w:id="731463545">
      <w:bodyDiv w:val="1"/>
      <w:marLeft w:val="0"/>
      <w:marRight w:val="0"/>
      <w:marTop w:val="0"/>
      <w:marBottom w:val="0"/>
      <w:divBdr>
        <w:top w:val="none" w:sz="0" w:space="0" w:color="auto"/>
        <w:left w:val="none" w:sz="0" w:space="0" w:color="auto"/>
        <w:bottom w:val="none" w:sz="0" w:space="0" w:color="auto"/>
        <w:right w:val="none" w:sz="0" w:space="0" w:color="auto"/>
      </w:divBdr>
    </w:div>
    <w:div w:id="750977098">
      <w:bodyDiv w:val="1"/>
      <w:marLeft w:val="0"/>
      <w:marRight w:val="0"/>
      <w:marTop w:val="0"/>
      <w:marBottom w:val="0"/>
      <w:divBdr>
        <w:top w:val="none" w:sz="0" w:space="0" w:color="auto"/>
        <w:left w:val="none" w:sz="0" w:space="0" w:color="auto"/>
        <w:bottom w:val="none" w:sz="0" w:space="0" w:color="auto"/>
        <w:right w:val="none" w:sz="0" w:space="0" w:color="auto"/>
      </w:divBdr>
    </w:div>
    <w:div w:id="758450179">
      <w:bodyDiv w:val="1"/>
      <w:marLeft w:val="0"/>
      <w:marRight w:val="0"/>
      <w:marTop w:val="0"/>
      <w:marBottom w:val="0"/>
      <w:divBdr>
        <w:top w:val="none" w:sz="0" w:space="0" w:color="auto"/>
        <w:left w:val="none" w:sz="0" w:space="0" w:color="auto"/>
        <w:bottom w:val="none" w:sz="0" w:space="0" w:color="auto"/>
        <w:right w:val="none" w:sz="0" w:space="0" w:color="auto"/>
      </w:divBdr>
    </w:div>
    <w:div w:id="828518632">
      <w:bodyDiv w:val="1"/>
      <w:marLeft w:val="0"/>
      <w:marRight w:val="0"/>
      <w:marTop w:val="0"/>
      <w:marBottom w:val="0"/>
      <w:divBdr>
        <w:top w:val="none" w:sz="0" w:space="0" w:color="auto"/>
        <w:left w:val="none" w:sz="0" w:space="0" w:color="auto"/>
        <w:bottom w:val="none" w:sz="0" w:space="0" w:color="auto"/>
        <w:right w:val="none" w:sz="0" w:space="0" w:color="auto"/>
      </w:divBdr>
    </w:div>
    <w:div w:id="863860032">
      <w:bodyDiv w:val="1"/>
      <w:marLeft w:val="0"/>
      <w:marRight w:val="0"/>
      <w:marTop w:val="0"/>
      <w:marBottom w:val="0"/>
      <w:divBdr>
        <w:top w:val="none" w:sz="0" w:space="0" w:color="auto"/>
        <w:left w:val="none" w:sz="0" w:space="0" w:color="auto"/>
        <w:bottom w:val="none" w:sz="0" w:space="0" w:color="auto"/>
        <w:right w:val="none" w:sz="0" w:space="0" w:color="auto"/>
      </w:divBdr>
    </w:div>
    <w:div w:id="1011185021">
      <w:bodyDiv w:val="1"/>
      <w:marLeft w:val="0"/>
      <w:marRight w:val="0"/>
      <w:marTop w:val="0"/>
      <w:marBottom w:val="0"/>
      <w:divBdr>
        <w:top w:val="none" w:sz="0" w:space="0" w:color="auto"/>
        <w:left w:val="none" w:sz="0" w:space="0" w:color="auto"/>
        <w:bottom w:val="none" w:sz="0" w:space="0" w:color="auto"/>
        <w:right w:val="none" w:sz="0" w:space="0" w:color="auto"/>
      </w:divBdr>
    </w:div>
    <w:div w:id="1067800226">
      <w:bodyDiv w:val="1"/>
      <w:marLeft w:val="0"/>
      <w:marRight w:val="0"/>
      <w:marTop w:val="0"/>
      <w:marBottom w:val="0"/>
      <w:divBdr>
        <w:top w:val="none" w:sz="0" w:space="0" w:color="auto"/>
        <w:left w:val="none" w:sz="0" w:space="0" w:color="auto"/>
        <w:bottom w:val="none" w:sz="0" w:space="0" w:color="auto"/>
        <w:right w:val="none" w:sz="0" w:space="0" w:color="auto"/>
      </w:divBdr>
    </w:div>
    <w:div w:id="1333338114">
      <w:bodyDiv w:val="1"/>
      <w:marLeft w:val="0"/>
      <w:marRight w:val="0"/>
      <w:marTop w:val="0"/>
      <w:marBottom w:val="0"/>
      <w:divBdr>
        <w:top w:val="none" w:sz="0" w:space="0" w:color="auto"/>
        <w:left w:val="none" w:sz="0" w:space="0" w:color="auto"/>
        <w:bottom w:val="none" w:sz="0" w:space="0" w:color="auto"/>
        <w:right w:val="none" w:sz="0" w:space="0" w:color="auto"/>
      </w:divBdr>
    </w:div>
    <w:div w:id="1401249125">
      <w:bodyDiv w:val="1"/>
      <w:marLeft w:val="0"/>
      <w:marRight w:val="0"/>
      <w:marTop w:val="0"/>
      <w:marBottom w:val="0"/>
      <w:divBdr>
        <w:top w:val="none" w:sz="0" w:space="0" w:color="auto"/>
        <w:left w:val="none" w:sz="0" w:space="0" w:color="auto"/>
        <w:bottom w:val="none" w:sz="0" w:space="0" w:color="auto"/>
        <w:right w:val="none" w:sz="0" w:space="0" w:color="auto"/>
      </w:divBdr>
    </w:div>
    <w:div w:id="1477989675">
      <w:bodyDiv w:val="1"/>
      <w:marLeft w:val="0"/>
      <w:marRight w:val="0"/>
      <w:marTop w:val="0"/>
      <w:marBottom w:val="0"/>
      <w:divBdr>
        <w:top w:val="none" w:sz="0" w:space="0" w:color="auto"/>
        <w:left w:val="none" w:sz="0" w:space="0" w:color="auto"/>
        <w:bottom w:val="none" w:sz="0" w:space="0" w:color="auto"/>
        <w:right w:val="none" w:sz="0" w:space="0" w:color="auto"/>
      </w:divBdr>
    </w:div>
    <w:div w:id="1592658436">
      <w:bodyDiv w:val="1"/>
      <w:marLeft w:val="0"/>
      <w:marRight w:val="0"/>
      <w:marTop w:val="0"/>
      <w:marBottom w:val="0"/>
      <w:divBdr>
        <w:top w:val="none" w:sz="0" w:space="0" w:color="auto"/>
        <w:left w:val="none" w:sz="0" w:space="0" w:color="auto"/>
        <w:bottom w:val="none" w:sz="0" w:space="0" w:color="auto"/>
        <w:right w:val="none" w:sz="0" w:space="0" w:color="auto"/>
      </w:divBdr>
    </w:div>
    <w:div w:id="1660033458">
      <w:bodyDiv w:val="1"/>
      <w:marLeft w:val="0"/>
      <w:marRight w:val="0"/>
      <w:marTop w:val="0"/>
      <w:marBottom w:val="0"/>
      <w:divBdr>
        <w:top w:val="none" w:sz="0" w:space="0" w:color="auto"/>
        <w:left w:val="none" w:sz="0" w:space="0" w:color="auto"/>
        <w:bottom w:val="none" w:sz="0" w:space="0" w:color="auto"/>
        <w:right w:val="none" w:sz="0" w:space="0" w:color="auto"/>
      </w:divBdr>
    </w:div>
    <w:div w:id="1822843880">
      <w:bodyDiv w:val="1"/>
      <w:marLeft w:val="0"/>
      <w:marRight w:val="0"/>
      <w:marTop w:val="0"/>
      <w:marBottom w:val="0"/>
      <w:divBdr>
        <w:top w:val="none" w:sz="0" w:space="0" w:color="auto"/>
        <w:left w:val="none" w:sz="0" w:space="0" w:color="auto"/>
        <w:bottom w:val="none" w:sz="0" w:space="0" w:color="auto"/>
        <w:right w:val="none" w:sz="0" w:space="0" w:color="auto"/>
      </w:divBdr>
    </w:div>
    <w:div w:id="1842771882">
      <w:bodyDiv w:val="1"/>
      <w:marLeft w:val="0"/>
      <w:marRight w:val="0"/>
      <w:marTop w:val="0"/>
      <w:marBottom w:val="0"/>
      <w:divBdr>
        <w:top w:val="none" w:sz="0" w:space="0" w:color="auto"/>
        <w:left w:val="none" w:sz="0" w:space="0" w:color="auto"/>
        <w:bottom w:val="none" w:sz="0" w:space="0" w:color="auto"/>
        <w:right w:val="none" w:sz="0" w:space="0" w:color="auto"/>
      </w:divBdr>
    </w:div>
    <w:div w:id="1906866964">
      <w:bodyDiv w:val="1"/>
      <w:marLeft w:val="0"/>
      <w:marRight w:val="0"/>
      <w:marTop w:val="0"/>
      <w:marBottom w:val="0"/>
      <w:divBdr>
        <w:top w:val="none" w:sz="0" w:space="0" w:color="auto"/>
        <w:left w:val="none" w:sz="0" w:space="0" w:color="auto"/>
        <w:bottom w:val="none" w:sz="0" w:space="0" w:color="auto"/>
        <w:right w:val="none" w:sz="0" w:space="0" w:color="auto"/>
      </w:divBdr>
    </w:div>
    <w:div w:id="2008896929">
      <w:bodyDiv w:val="1"/>
      <w:marLeft w:val="0"/>
      <w:marRight w:val="0"/>
      <w:marTop w:val="0"/>
      <w:marBottom w:val="0"/>
      <w:divBdr>
        <w:top w:val="none" w:sz="0" w:space="0" w:color="auto"/>
        <w:left w:val="none" w:sz="0" w:space="0" w:color="auto"/>
        <w:bottom w:val="none" w:sz="0" w:space="0" w:color="auto"/>
        <w:right w:val="none" w:sz="0" w:space="0" w:color="auto"/>
      </w:divBdr>
    </w:div>
    <w:div w:id="2012562472">
      <w:bodyDiv w:val="1"/>
      <w:marLeft w:val="0"/>
      <w:marRight w:val="0"/>
      <w:marTop w:val="0"/>
      <w:marBottom w:val="0"/>
      <w:divBdr>
        <w:top w:val="none" w:sz="0" w:space="0" w:color="auto"/>
        <w:left w:val="none" w:sz="0" w:space="0" w:color="auto"/>
        <w:bottom w:val="none" w:sz="0" w:space="0" w:color="auto"/>
        <w:right w:val="none" w:sz="0" w:space="0" w:color="auto"/>
      </w:divBdr>
    </w:div>
    <w:div w:id="2015647035">
      <w:bodyDiv w:val="1"/>
      <w:marLeft w:val="0"/>
      <w:marRight w:val="0"/>
      <w:marTop w:val="0"/>
      <w:marBottom w:val="0"/>
      <w:divBdr>
        <w:top w:val="none" w:sz="0" w:space="0" w:color="auto"/>
        <w:left w:val="none" w:sz="0" w:space="0" w:color="auto"/>
        <w:bottom w:val="none" w:sz="0" w:space="0" w:color="auto"/>
        <w:right w:val="none" w:sz="0" w:space="0" w:color="auto"/>
      </w:divBdr>
    </w:div>
    <w:div w:id="2059208180">
      <w:bodyDiv w:val="1"/>
      <w:marLeft w:val="0"/>
      <w:marRight w:val="0"/>
      <w:marTop w:val="0"/>
      <w:marBottom w:val="0"/>
      <w:divBdr>
        <w:top w:val="none" w:sz="0" w:space="0" w:color="auto"/>
        <w:left w:val="none" w:sz="0" w:space="0" w:color="auto"/>
        <w:bottom w:val="none" w:sz="0" w:space="0" w:color="auto"/>
        <w:right w:val="none" w:sz="0" w:space="0" w:color="auto"/>
      </w:divBdr>
    </w:div>
    <w:div w:id="2060350641">
      <w:bodyDiv w:val="1"/>
      <w:marLeft w:val="0"/>
      <w:marRight w:val="0"/>
      <w:marTop w:val="0"/>
      <w:marBottom w:val="0"/>
      <w:divBdr>
        <w:top w:val="none" w:sz="0" w:space="0" w:color="auto"/>
        <w:left w:val="none" w:sz="0" w:space="0" w:color="auto"/>
        <w:bottom w:val="none" w:sz="0" w:space="0" w:color="auto"/>
        <w:right w:val="none" w:sz="0" w:space="0" w:color="auto"/>
      </w:divBdr>
    </w:div>
    <w:div w:id="2109766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A8103-5EE5-45B8-89A5-2ADCC8948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2098</Words>
  <Characters>11961</Characters>
  <Application>Microsoft Office Word</Application>
  <DocSecurity>0</DocSecurity>
  <Lines>99</Lines>
  <Paragraphs>28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14031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Damla Pince</cp:lastModifiedBy>
  <cp:revision>2</cp:revision>
  <cp:lastPrinted>2023-01-05T11:02:00Z</cp:lastPrinted>
  <dcterms:created xsi:type="dcterms:W3CDTF">2023-01-10T12:28:00Z</dcterms:created>
  <dcterms:modified xsi:type="dcterms:W3CDTF">2023-01-10T12:28:00Z</dcterms:modified>
</cp:coreProperties>
</file>